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21</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■市内事業者からの仕入れ割合</w:t>
      </w:r>
    </w:p>
    <w:p>
      <w:pPr>
        <w:pStyle w:val="0"/>
        <w:rPr>
          <w:rFonts w:hint="eastAsia" w:ascii="ＭＳ 明朝" w:hAnsi="ＭＳ 明朝" w:eastAsia="ＭＳ 明朝"/>
          <w:b w:val="1"/>
          <w:sz w:val="21"/>
          <w:u w:val="none" w:color="auto"/>
        </w:rPr>
      </w:pPr>
    </w:p>
    <w:tbl>
      <w:tblPr>
        <w:tblStyle w:val="18"/>
        <w:tblW w:w="0" w:type="auto"/>
        <w:tblInd w:w="0" w:type="dxa"/>
        <w:tblLayout w:type="fixed"/>
        <w:tblLook w:firstRow="1" w:lastRow="0" w:firstColumn="1" w:lastColumn="0" w:noHBand="0" w:noVBand="1" w:val="04A0"/>
      </w:tblPr>
      <w:tblGrid>
        <w:gridCol w:w="6085"/>
        <w:gridCol w:w="1890"/>
      </w:tblGrid>
      <w:tr>
        <w:trPr/>
        <w:tc>
          <w:tcPr>
            <w:tcW w:w="6085" w:type="dxa"/>
            <w:vAlign w:val="center"/>
          </w:tcPr>
          <w:p>
            <w:pPr>
              <w:pStyle w:val="0"/>
              <w:jc w:val="center"/>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割合</w:t>
            </w:r>
          </w:p>
        </w:tc>
      </w:tr>
      <w:tr>
        <w:trPr/>
        <w:tc>
          <w:tcPr>
            <w:tcW w:w="6085"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総仕入高に占める箕面市内事業者からの仕入れ</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※令和</w:t>
      </w:r>
      <w:r>
        <w:rPr>
          <w:rFonts w:hint="eastAsia" w:ascii="ＭＳ 明朝" w:hAnsi="ＭＳ 明朝" w:eastAsia="ＭＳ 明朝"/>
          <w:sz w:val="21"/>
          <w:u w:val="none" w:color="auto"/>
        </w:rPr>
        <w:t>5</w:t>
      </w:r>
      <w:r>
        <w:rPr>
          <w:rFonts w:hint="eastAsia" w:ascii="ＭＳ 明朝" w:hAnsi="ＭＳ 明朝" w:eastAsia="ＭＳ 明朝"/>
          <w:sz w:val="21"/>
          <w:u w:val="none" w:color="auto"/>
        </w:rPr>
        <w:t>年</w:t>
      </w:r>
      <w:r>
        <w:rPr>
          <w:rFonts w:hint="eastAsia" w:ascii="ＭＳ 明朝" w:hAnsi="ＭＳ 明朝" w:eastAsia="ＭＳ 明朝"/>
          <w:sz w:val="21"/>
          <w:u w:val="none" w:color="auto"/>
        </w:rPr>
        <w:t>4</w:t>
      </w:r>
      <w:r>
        <w:rPr>
          <w:rFonts w:hint="eastAsia" w:ascii="ＭＳ 明朝" w:hAnsi="ＭＳ 明朝" w:eastAsia="ＭＳ 明朝"/>
          <w:sz w:val="21"/>
          <w:u w:val="none" w:color="auto"/>
        </w:rPr>
        <w:t>月</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日から令和</w:t>
      </w:r>
      <w:r>
        <w:rPr>
          <w:rFonts w:hint="eastAsia" w:ascii="ＭＳ 明朝" w:hAnsi="ＭＳ 明朝" w:eastAsia="ＭＳ 明朝"/>
          <w:sz w:val="21"/>
          <w:u w:val="none" w:color="auto"/>
        </w:rPr>
        <w:t>6</w:t>
      </w:r>
      <w:r>
        <w:rPr>
          <w:rFonts w:hint="eastAsia" w:ascii="ＭＳ 明朝" w:hAnsi="ＭＳ 明朝" w:eastAsia="ＭＳ 明朝"/>
          <w:sz w:val="21"/>
          <w:u w:val="none" w:color="auto"/>
        </w:rPr>
        <w:t>年</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月</w:t>
      </w:r>
      <w:r>
        <w:rPr>
          <w:rFonts w:hint="eastAsia" w:ascii="ＭＳ 明朝" w:hAnsi="ＭＳ 明朝" w:eastAsia="ＭＳ 明朝"/>
          <w:sz w:val="21"/>
          <w:u w:val="none" w:color="auto"/>
        </w:rPr>
        <w:t>31</w:t>
      </w:r>
      <w:r>
        <w:rPr>
          <w:rFonts w:hint="eastAsia" w:ascii="ＭＳ 明朝" w:hAnsi="ＭＳ 明朝" w:eastAsia="ＭＳ 明朝"/>
          <w:sz w:val="21"/>
          <w:u w:val="none" w:color="auto"/>
        </w:rPr>
        <w:t>日事業年度の算出根拠となる財務諸表等及び仕入れ台帳を添付すること。</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2025-01-28T04:54:05Z</dcterms:modified>
  <cp:revision>5</cp:revision>
</cp:coreProperties>
</file>