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【提案書】再生品の使用状況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" w:tblpY="225"/>
        <w:tblW w:w="0" w:type="auto"/>
        <w:tblLayout w:type="fixed"/>
        <w:tblLook w:firstRow="1" w:lastRow="0" w:firstColumn="1" w:lastColumn="0" w:noHBand="0" w:noVBand="1" w:val="04A0"/>
      </w:tblPr>
      <w:tblGrid>
        <w:gridCol w:w="8605"/>
        <w:gridCol w:w="3990"/>
      </w:tblGrid>
      <w:tr>
        <w:trPr>
          <w:trHeight w:val="2986" w:hRule="atLeast"/>
        </w:trPr>
        <w:tc>
          <w:tcPr>
            <w:tcW w:w="86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当該業務に使用する資機材における再生品の使用割合</w:t>
            </w:r>
          </w:p>
        </w:tc>
        <w:tc>
          <w:tcPr>
            <w:tcW w:w="3990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※使用割合（％）＝当該業務で使用する資機材に占める再生品</w:t>
      </w:r>
      <w:r>
        <w:rPr>
          <w:rFonts w:hint="eastAsia" w:ascii="ＭＳ 明朝" w:hAnsi="ＭＳ 明朝" w:eastAsia="ＭＳ 明朝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sz w:val="21"/>
          <w:u w:val="none" w:color="auto"/>
        </w:rPr>
        <w:t>品数）の割合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※対象となる再生品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　大阪府認定リサイクル製品、エコマーク商品、再生紙、グリーンマーク商品等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2024-02-05T06:17:54Z</dcterms:modified>
  <cp:revision>1</cp:revision>
</cp:coreProperties>
</file>