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28</w:t>
      </w:r>
      <w:r>
        <w:rPr>
          <w:rFonts w:hint="eastAsia" w:ascii="ＭＳ 明朝" w:hAnsi="ＭＳ 明朝" w:eastAsia="ＭＳ 明朝"/>
          <w:sz w:val="24"/>
          <w:u w:val="none" w:color="auto"/>
        </w:rPr>
        <w:t>～令和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※「同種業務」とは、今回発注する業務とほぼ同じ内容の業務とする。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※「同規模業務」とは、今回発注する業務と同程度の金額の業務とする。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※「類似業務」とは、今回発注する業務に関する内容に類すると判断できる業務とする。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2</Pages>
  <Words>5</Words>
  <Characters>230</Characters>
  <Application>JUST Note</Application>
  <Lines>78</Lines>
  <Paragraphs>22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毛利　永江(手動)</cp:lastModifiedBy>
  <cp:lastPrinted>2020-09-24T00:48:24Z</cp:lastPrinted>
  <dcterms:created xsi:type="dcterms:W3CDTF">2020-03-04T05:54:00Z</dcterms:created>
  <dcterms:modified xsi:type="dcterms:W3CDTF">2022-01-27T02:01:46Z</dcterms:modified>
  <cp:revision>0</cp:revision>
</cp:coreProperties>
</file>