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【提案書】経常利益の状況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5"/>
        <w:tblpPr w:leftFromText="142" w:rightFromText="142" w:topFromText="0" w:bottomFromText="0" w:vertAnchor="text" w:horzAnchor="text" w:tblpX="41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3370"/>
        <w:gridCol w:w="2310"/>
        <w:gridCol w:w="2310"/>
        <w:gridCol w:w="2310"/>
        <w:gridCol w:w="2310"/>
      </w:tblGrid>
      <w:tr>
        <w:trPr>
          <w:trHeight w:val="736" w:hRule="atLeast"/>
        </w:trPr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令和２年度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A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令和３年度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B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令和４年度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C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令和５</w:t>
            </w:r>
            <w:bookmarkStart w:id="0" w:name="_GoBack"/>
            <w:bookmarkEnd w:id="0"/>
            <w:r>
              <w:rPr>
                <w:rFonts w:hint="eastAsia"/>
                <w:color w:val="000000"/>
                <w:sz w:val="24"/>
              </w:rPr>
              <w:t>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D</w:t>
            </w:r>
          </w:p>
        </w:tc>
      </w:tr>
      <w:tr>
        <w:trPr/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経常利益（円）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33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経常利益伸び率（％）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highlight w:val="lightGray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B-A)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C-B)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D-C)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</w:tr>
      <w:tr>
        <w:trPr>
          <w:trHeight w:val="833" w:hRule="atLeast"/>
        </w:trPr>
        <w:tc>
          <w:tcPr>
            <w:tcW w:w="33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single" w:color="auto" w:sz="8" w:space="0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sz w:val="24"/>
                <w:highlight w:val="lightGray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-17780</wp:posOffset>
                      </wp:positionV>
                      <wp:extent cx="5876925" cy="9525"/>
                      <wp:effectExtent l="635" t="635" r="29210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 flipV="1">
                                <a:off x="0" y="0"/>
                                <a:ext cx="5876925" cy="9525"/>
                              </a:xfrm>
                              <a:prstGeom prst="line">
                                <a:avLst/>
                              </a:prstGeom>
                              <a:ln w="6350" cap="flat" cmpd="sng" algn="ctr">
                                <a:solidFill>
                                  <a:schemeClr val="dk1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y;mso-wrap-distance-right:16pt;mso-wrap-distance-bottom:0pt;mso-position-vertical-relative:text;mso-position-horizontal-relative:text;position:absolute;mso-wrap-distance-left:16pt;z-index:2;" o:spid="_x0000_s1026" o:allowincell="t" o:allowoverlap="t" filled="f" stroked="t" strokecolor="#000000 [3200]" strokeweight="0.5pt" o:spt="20" from="-5.25pt,-1.4pt" to="457.5pt,-0.65pt">
                      <v:fill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3840" w:hanging="3840" w:hangingChars="16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※経常利益伸び率は、小数点以下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※経常利益伸び率＝（当期経常利益－前期経常利益）÷前期経常利益×</w:t>
      </w:r>
      <w:r>
        <w:rPr>
          <w:rFonts w:hint="eastAsia" w:ascii="ＭＳ 明朝" w:hAnsi="ＭＳ 明朝" w:eastAsia="ＭＳ 明朝"/>
          <w:sz w:val="24"/>
          <w:u w:val="none" w:color="auto"/>
        </w:rPr>
        <w:t>100</w:t>
      </w:r>
      <w:r>
        <w:rPr>
          <w:rFonts w:hint="eastAsia" w:ascii="ＭＳ 明朝" w:hAnsi="ＭＳ 明朝" w:eastAsia="ＭＳ 明朝"/>
          <w:sz w:val="24"/>
          <w:u w:val="none" w:color="auto"/>
        </w:rPr>
        <w:t>で計算すること。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dcterms:created xsi:type="dcterms:W3CDTF">2020-03-04T05:54:00Z</dcterms:created>
  <dcterms:modified xsi:type="dcterms:W3CDTF">2023-04-06T04:52:34Z</dcterms:modified>
  <cp:revision>0</cp:revision>
</cp:coreProperties>
</file>