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  <w:r>
        <w:rPr>
          <w:rFonts w:hint="eastAsia" w:ascii="HGP創英角ｺﾞｼｯｸUB" w:hAnsi="HGP創英角ｺﾞｼｯｸUB" w:eastAsia="HGP創英角ｺﾞｼｯｸUB"/>
          <w:sz w:val="24"/>
        </w:rPr>
        <w:t>（様式８）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※法人全体の数値を用いること。</w:t>
      </w:r>
    </w:p>
    <w:p>
      <w:pPr>
        <w:pStyle w:val="0"/>
        <w:ind w:left="420" w:leftChars="200" w:right="-498" w:rightChars="-237" w:firstLine="58" w:firstLineChars="24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日から令和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31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日事業年度のキャッシュフロー計算書の数値を用いること。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キャッシュフロー計算書の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※キャッシュフロー計算書が未作成の場合は、財務諸表（貸借対照表、損益計算書等）に基づく算出を可とする。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77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2023-04-13T08:56:37Z</dcterms:modified>
  <cp:revision>2</cp:revision>
</cp:coreProperties>
</file>