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  <w:bookmarkStart w:id="0" w:name="_GoBack"/>
      <w:bookmarkEnd w:id="0"/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※「同種業務」とは、自治体の電子カルテシステムの導入業務とする。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※「類似業務」とは、民間の電子カルテシステム導入業務とする。</w:t>
      </w:r>
    </w:p>
    <w:p>
      <w:pPr>
        <w:pStyle w:val="0"/>
        <w:ind w:left="630" w:leftChars="114" w:hanging="391" w:hangingChars="163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※「専門知識等」とは、「有効な国家資格等」以外の民間資格等をいい、情報処理技術者能力検定、情報セキュリティ管理士の民間資格とする。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left="491" w:leftChars="114" w:hanging="252" w:hangingChars="10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sz w:val="24"/>
          <w:u w:val="none" w:color="auto"/>
        </w:rPr>
        <w:t>「有効な国家資格等」とは、情報処理技術者（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パスポート、基本情報技術者の初級試験は除く）とする。</w:t>
      </w: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2024-03-29T07:32:12Z</dcterms:modified>
  <cp:revision>0</cp:revision>
</cp:coreProperties>
</file>