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様式７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【提案書】キャッシュフローの状況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621" w:tblpY="345"/>
        <w:tblW w:w="0" w:type="auto"/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2730"/>
        <w:gridCol w:w="7350"/>
        <w:gridCol w:w="2520"/>
      </w:tblGrid>
      <w:tr>
        <w:trPr>
          <w:trHeight w:val="1540" w:hRule="atLeast"/>
        </w:trPr>
        <w:tc>
          <w:tcPr>
            <w:tcW w:w="2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令和４年度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>2022</w:t>
            </w:r>
            <w:r>
              <w:rPr>
                <w:rFonts w:hint="eastAsia"/>
                <w:sz w:val="24"/>
              </w:rPr>
              <w:t>年度）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営業活動による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キャッシュフロー</w:t>
            </w:r>
          </w:p>
        </w:tc>
        <w:tc>
          <w:tcPr>
            <w:tcW w:w="7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5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円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left="629" w:leftChars="200" w:hanging="209" w:hangingChars="87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※令和４年４月１日から令和５年３月３１日事業年度の有価証券報告書のキャッシュフロー計算書の数値を用いること。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※決算月が</w:t>
      </w:r>
      <w:r>
        <w:rPr>
          <w:rFonts w:hint="eastAsia" w:ascii="ＭＳ 明朝" w:hAnsi="ＭＳ 明朝" w:eastAsia="ＭＳ 明朝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sz w:val="24"/>
          <w:u w:val="none" w:color="auto"/>
        </w:rPr>
        <w:t>月以外の場合は、直近の確定した損益計算書の数値を用いること。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※数値を引用した決算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  <w:u w:val="none" w:color="auto"/>
        </w:rPr>
        <w:t>書を添付のうえ、引用数値をマーカーで明示すること。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color w:val="7030A0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highlight w:val="none"/>
          <w:u w:val="none" w:color="auto"/>
        </w:rPr>
        <w:t>※上場企業であるか否かにかかわらず、キャッシュフロー計算書を作成していれば、その内容を評価する。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color w:val="7030A0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highlight w:val="none"/>
          <w:u w:val="none" w:color="auto"/>
        </w:rPr>
        <w:t>※共同参加での提案の場合、代表者を評価の対象とする。</w:t>
      </w:r>
    </w:p>
    <w:sectPr>
      <w:pgSz w:w="16838" w:h="11906" w:orient="landscape"/>
      <w:pgMar w:top="1701" w:right="1487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明朝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82</TotalTime>
  <Pages>1</Pages>
  <Words>1</Words>
  <Characters>264</Characters>
  <Application>JUST Note</Application>
  <Lines>27</Lines>
  <Paragraphs>12</Paragraphs>
  <Company>箕面市役所</Company>
  <CharactersWithSpaces>299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2024-03-29T07:45:02Z</dcterms:modified>
  <cp:revision>2</cp:revision>
</cp:coreProperties>
</file>