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r>
        <w:rPr>
          <w:rFonts w:hint="eastAsia" w:ascii="ＭＳ 明朝" w:hAnsi="ＭＳ 明朝" w:eastAsia="ＭＳ 明朝"/>
          <w:color w:val="auto"/>
          <w:sz w:val="24"/>
        </w:rPr>
        <w:t>式１０</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【提案書】事業者の同種・類似業務の実績（過去</w:t>
      </w:r>
      <w:r>
        <w:rPr>
          <w:rFonts w:hint="eastAsia" w:ascii="ＭＳ 明朝" w:hAnsi="ＭＳ 明朝" w:eastAsia="ＭＳ 明朝"/>
          <w:b w:val="1"/>
          <w:sz w:val="32"/>
        </w:rPr>
        <w:t>5</w:t>
      </w:r>
      <w:r>
        <w:rPr>
          <w:rFonts w:hint="eastAsia" w:ascii="ＭＳ 明朝" w:hAnsi="ＭＳ 明朝" w:eastAsia="ＭＳ 明朝"/>
          <w:b w:val="1"/>
          <w:sz w:val="32"/>
        </w:rPr>
        <w:t>年間）</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tbl>
      <w:tblPr>
        <w:tblStyle w:val="18"/>
        <w:tblpPr w:leftFromText="0" w:rightFromText="0" w:topFromText="0" w:bottomFromText="0" w:vertAnchor="text" w:horzAnchor="margin" w:tblpX="239" w:tblpY="15"/>
        <w:tblOverlap w:val="never"/>
        <w:tblW w:w="0" w:type="auto"/>
        <w:tblLayout w:type="fixed"/>
        <w:tblLook w:firstRow="1" w:lastRow="0" w:firstColumn="1" w:lastColumn="0" w:noHBand="0" w:noVBand="1" w:val="04A0"/>
      </w:tblPr>
      <w:tblGrid>
        <w:gridCol w:w="630"/>
        <w:gridCol w:w="2520"/>
        <w:gridCol w:w="2730"/>
        <w:gridCol w:w="3150"/>
        <w:gridCol w:w="3840"/>
      </w:tblGrid>
      <w:tr>
        <w:trPr>
          <w:trHeight w:val="360" w:hRule="atLeast"/>
        </w:trPr>
        <w:tc>
          <w:tcPr>
            <w:tcW w:w="630" w:type="dxa"/>
            <w:vMerge w:val="restart"/>
            <w:vAlign w:val="top"/>
          </w:tcPr>
          <w:p>
            <w:pPr>
              <w:pStyle w:val="0"/>
              <w:rPr>
                <w:rFonts w:hint="eastAsia"/>
              </w:rPr>
            </w:pPr>
          </w:p>
        </w:tc>
        <w:tc>
          <w:tcPr>
            <w:tcW w:w="122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同種・類似業務の実績</w:t>
            </w:r>
          </w:p>
        </w:tc>
      </w:tr>
      <w:tr>
        <w:trPr/>
        <w:tc>
          <w:tcPr>
            <w:tcW w:w="630" w:type="dxa"/>
            <w:vMerge w:val="continue"/>
            <w:vAlign w:val="top"/>
          </w:tcPr>
          <w:p>
            <w:pPr>
              <w:pStyle w:val="0"/>
              <w:rPr>
                <w:rFonts w:hint="eastAsia"/>
              </w:rPr>
            </w:pPr>
          </w:p>
        </w:tc>
        <w:tc>
          <w:tcPr>
            <w:tcW w:w="252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業務名</w:t>
            </w:r>
          </w:p>
        </w:tc>
        <w:tc>
          <w:tcPr>
            <w:tcW w:w="273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発注者</w:t>
            </w:r>
          </w:p>
        </w:tc>
        <w:tc>
          <w:tcPr>
            <w:tcW w:w="315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金額</w:t>
            </w:r>
          </w:p>
        </w:tc>
        <w:tc>
          <w:tcPr>
            <w:tcW w:w="3840" w:type="dxa"/>
            <w:vAlign w:val="top"/>
          </w:tcPr>
          <w:p>
            <w:pPr>
              <w:pStyle w:val="0"/>
              <w:jc w:val="center"/>
              <w:rPr>
                <w:rFonts w:hint="eastAsia"/>
                <w:b w:val="1"/>
              </w:rPr>
            </w:pPr>
            <w:r>
              <w:rPr>
                <w:rFonts w:hint="eastAsia" w:ascii="ＭＳ 明朝" w:hAnsi="ＭＳ 明朝" w:eastAsia="ＭＳ 明朝"/>
                <w:b w:val="1"/>
                <w:sz w:val="24"/>
              </w:rPr>
              <w:t>業務内容</w:t>
            </w:r>
          </w:p>
        </w:tc>
      </w:tr>
      <w:tr>
        <w:trPr/>
        <w:tc>
          <w:tcPr>
            <w:tcW w:w="630" w:type="dxa"/>
            <w:shd w:val="clear" w:color="auto" w:fill="FFFFBE"/>
            <w:vAlign w:val="top"/>
          </w:tcPr>
          <w:p>
            <w:pPr>
              <w:pStyle w:val="0"/>
              <w:jc w:val="center"/>
              <w:rPr>
                <w:rFonts w:hint="eastAsia"/>
              </w:rPr>
            </w:pPr>
            <w:r>
              <w:rPr>
                <w:rFonts w:hint="eastAsia"/>
              </w:rPr>
              <w:t>１</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２</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３</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４</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５</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６</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７</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８</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bl>
    <w:p>
      <w:pPr>
        <w:pStyle w:val="0"/>
        <w:jc w:val="left"/>
        <w:rPr>
          <w:rFonts w:hint="eastAsia" w:ascii="ＭＳ 明朝" w:hAnsi="ＭＳ 明朝" w:eastAsia="ＭＳ 明朝"/>
          <w:sz w:val="24"/>
          <w:u w:val="none" w:color="auto"/>
        </w:rPr>
      </w:pPr>
    </w:p>
    <w:p>
      <w:pPr>
        <w:pStyle w:val="0"/>
        <w:ind w:leftChars="0" w:hanging="209" w:hangingChars="87"/>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※同種・類似業務での受託実績（受注内容及び受注金額）を評価する。評価対象は令和元年</w:t>
      </w:r>
      <w:bookmarkStart w:id="0" w:name="_GoBack"/>
      <w:bookmarkEnd w:id="0"/>
      <w:r>
        <w:rPr>
          <w:rFonts w:hint="eastAsia" w:ascii="ＭＳ 明朝" w:hAnsi="ＭＳ 明朝" w:eastAsia="ＭＳ 明朝"/>
          <w:sz w:val="24"/>
          <w:u w:val="none" w:color="auto"/>
        </w:rPr>
        <w:t>度～令和５年度中の受託実績とする。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※「同種業務」とは、道路運送法第２１条の許可に基づく運行業務とする。</w:t>
      </w:r>
    </w:p>
    <w:p>
      <w:pPr>
        <w:pStyle w:val="0"/>
        <w:ind w:left="24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※「同規模業務」とは、人口１０万人以上の地方公共団体もしくは同人口以上の地方公共団体に所在する観光協会から受託した業務とする。</w:t>
      </w:r>
    </w:p>
    <w:p>
      <w:pPr>
        <w:pStyle w:val="0"/>
        <w:ind w:leftChars="0" w:hanging="209" w:hangingChars="87"/>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※「類似業務」とは、地方公共団体及び観光協会における一般貸切旅客運送事業による業務とする。</w:t>
      </w:r>
    </w:p>
    <w:sectPr>
      <w:pgSz w:w="16838" w:h="11906" w:orient="landscape"/>
      <w:pgMar w:top="1701" w:right="1985"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1</Words>
  <Characters>265</Characters>
  <Application>JUST Note</Application>
  <Lines>70</Lines>
  <Paragraphs>20</Paragraphs>
  <Company>箕面市役所</Company>
  <CharactersWithSpaces>299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辻　祥子(手動)</cp:lastModifiedBy>
  <dcterms:created xsi:type="dcterms:W3CDTF">2020-03-04T05:54:00Z</dcterms:created>
  <dcterms:modified xsi:type="dcterms:W3CDTF">2023-04-28T12:51:30Z</dcterms:modified>
  <cp:revision>1</cp:revision>
</cp:coreProperties>
</file>