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9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令和５</w:t>
      </w:r>
      <w:r>
        <w:rPr>
          <w:rFonts w:hint="eastAsia" w:ascii="ＭＳ 明朝" w:hAnsi="ＭＳ 明朝" w:eastAsia="ＭＳ 明朝"/>
          <w:sz w:val="24"/>
          <w:u w:val="none" w:color="auto"/>
        </w:rPr>
        <w:t>年４月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日から令和６年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8</Words>
  <Characters>293</Characters>
  <Application>JUST Note</Application>
  <Lines>35</Lines>
  <Paragraphs>19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2025-01-10T06:10:17Z</dcterms:modified>
  <cp:revision>1</cp:revision>
</cp:coreProperties>
</file>