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様式</w:t>
      </w:r>
      <w:r>
        <w:rPr>
          <w:rFonts w:hint="eastAsia" w:ascii="ＭＳ 明朝" w:hAnsi="ＭＳ 明朝" w:eastAsia="ＭＳ 明朝"/>
          <w:color w:val="auto"/>
          <w:sz w:val="24"/>
        </w:rPr>
        <w:t>4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b w:val="1"/>
          <w:sz w:val="32"/>
        </w:rPr>
      </w:pPr>
      <w:r>
        <w:rPr>
          <w:rFonts w:hint="eastAsia" w:ascii="ＭＳ 明朝" w:hAnsi="ＭＳ 明朝" w:eastAsia="ＭＳ 明朝"/>
          <w:b w:val="1"/>
          <w:sz w:val="32"/>
        </w:rPr>
        <w:t>【提案書】流動比率の状況</w:t>
      </w:r>
    </w:p>
    <w:p>
      <w:pPr>
        <w:pStyle w:val="0"/>
        <w:jc w:val="center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sz w:val="24"/>
          <w:u w:val="single" w:color="auto"/>
        </w:rPr>
      </w:pPr>
      <w:r>
        <w:rPr>
          <w:rFonts w:hint="eastAsia" w:ascii="ＭＳ 明朝" w:hAnsi="ＭＳ 明朝" w:eastAsia="ＭＳ 明朝"/>
          <w:sz w:val="24"/>
        </w:rPr>
        <w:t>　　　　　　　　　　　　　　　　　　</w:t>
      </w:r>
      <w:r>
        <w:rPr>
          <w:rFonts w:hint="eastAsia" w:ascii="ＭＳ 明朝" w:hAnsi="ＭＳ 明朝" w:eastAsia="ＭＳ 明朝"/>
          <w:sz w:val="24"/>
          <w:u w:val="single" w:color="auto"/>
        </w:rPr>
        <w:t>入札者名：</w:t>
      </w:r>
      <w:r>
        <w:rPr>
          <w:rFonts w:hint="eastAsia" w:ascii="ＭＳ 明朝" w:hAnsi="ＭＳ 明朝" w:eastAsia="ＭＳ 明朝"/>
          <w:sz w:val="24"/>
          <w:highlight w:val="none"/>
          <w:u w:val="single" w:color="auto"/>
          <w:shd w:val="pct15" w:color="auto" w:fill="auto"/>
        </w:rPr>
        <w:t>　　　　　　　　　　　　　　　　</w:t>
      </w: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tbl>
      <w:tblPr>
        <w:tblStyle w:val="17"/>
        <w:tblpPr w:leftFromText="142" w:rightFromText="142" w:topFromText="0" w:bottomFromText="0" w:vertAnchor="text" w:horzAnchor="text" w:tblpX="1094" w:tblpY="345"/>
        <w:tblW w:w="0" w:type="auto"/>
        <w:tblBorders>
          <w:top w:val="none" w:color="auto" w:sz="0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none" w:color="auto" w:sz="0" w:space="0"/>
        </w:tblBorders>
        <w:tblLayout w:type="fixed"/>
        <w:tblLook w:firstRow="1" w:lastRow="0" w:firstColumn="1" w:lastColumn="0" w:noHBand="0" w:noVBand="1" w:val="04A0"/>
      </w:tblPr>
      <w:tblGrid>
        <w:gridCol w:w="983"/>
        <w:gridCol w:w="2587"/>
        <w:gridCol w:w="6090"/>
        <w:gridCol w:w="792"/>
      </w:tblGrid>
      <w:tr>
        <w:trPr/>
        <w:tc>
          <w:tcPr>
            <w:tcW w:w="983" w:type="dxa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A</w:t>
            </w:r>
          </w:p>
        </w:tc>
        <w:tc>
          <w:tcPr>
            <w:tcW w:w="2587" w:type="dxa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流動資産</w:t>
            </w:r>
          </w:p>
        </w:tc>
        <w:tc>
          <w:tcPr>
            <w:tcW w:w="609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il"/>
              <w:tr2bl w:val="nil"/>
            </w:tcBorders>
            <w:shd w:val="clear" w:color="auto" w:fill="FFE69A"/>
            <w:vAlign w:val="top"/>
          </w:tcPr>
          <w:p>
            <w:pPr>
              <w:pStyle w:val="0"/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792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円</w:t>
            </w:r>
          </w:p>
        </w:tc>
      </w:tr>
      <w:tr>
        <w:trPr/>
        <w:tc>
          <w:tcPr>
            <w:tcW w:w="983" w:type="dxa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B</w:t>
            </w:r>
          </w:p>
        </w:tc>
        <w:tc>
          <w:tcPr>
            <w:tcW w:w="2587" w:type="dxa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流動負債</w:t>
            </w:r>
          </w:p>
        </w:tc>
        <w:tc>
          <w:tcPr>
            <w:tcW w:w="609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il"/>
              <w:tr2bl w:val="nil"/>
            </w:tcBorders>
            <w:shd w:val="clear" w:color="auto" w:fill="FFE69A"/>
            <w:vAlign w:val="top"/>
          </w:tcPr>
          <w:p>
            <w:pPr>
              <w:pStyle w:val="0"/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792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円</w:t>
            </w:r>
          </w:p>
        </w:tc>
      </w:tr>
      <w:tr>
        <w:trPr/>
        <w:tc>
          <w:tcPr>
            <w:tcW w:w="983" w:type="dxa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C</w:t>
            </w:r>
          </w:p>
        </w:tc>
        <w:tc>
          <w:tcPr>
            <w:tcW w:w="2587" w:type="dxa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流動比率（</w:t>
            </w:r>
            <w:r>
              <w:rPr>
                <w:rFonts w:hint="eastAsia"/>
                <w:sz w:val="24"/>
              </w:rPr>
              <w:t>A</w:t>
            </w:r>
            <w:r>
              <w:rPr>
                <w:rFonts w:hint="eastAsia"/>
                <w:sz w:val="24"/>
              </w:rPr>
              <w:t>÷</w:t>
            </w:r>
            <w:r>
              <w:rPr>
                <w:rFonts w:hint="eastAsia"/>
                <w:sz w:val="24"/>
              </w:rPr>
              <w:t>B)</w:t>
            </w:r>
          </w:p>
        </w:tc>
        <w:tc>
          <w:tcPr>
            <w:tcW w:w="609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il"/>
              <w:tr2bl w:val="nil"/>
            </w:tcBorders>
            <w:shd w:val="clear" w:color="auto" w:fill="FFE69A"/>
            <w:vAlign w:val="top"/>
          </w:tcPr>
          <w:p>
            <w:pPr>
              <w:pStyle w:val="0"/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792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％</w:t>
            </w:r>
          </w:p>
        </w:tc>
      </w:tr>
    </w:tbl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　　　　　　　　　　　　　　　　　　　　※小数点以下</w:t>
      </w:r>
      <w:r>
        <w:rPr>
          <w:rFonts w:hint="eastAsia" w:ascii="ＭＳ 明朝" w:hAnsi="ＭＳ 明朝" w:eastAsia="ＭＳ 明朝"/>
          <w:sz w:val="24"/>
          <w:u w:val="none" w:color="auto"/>
        </w:rPr>
        <w:t>2</w:t>
      </w:r>
      <w:r>
        <w:rPr>
          <w:rFonts w:hint="eastAsia" w:ascii="ＭＳ 明朝" w:hAnsi="ＭＳ 明朝" w:eastAsia="ＭＳ 明朝"/>
          <w:sz w:val="24"/>
          <w:u w:val="none" w:color="auto"/>
        </w:rPr>
        <w:t>桁目を四捨五入のこと</w:t>
      </w: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※令和</w:t>
      </w:r>
      <w:r>
        <w:rPr>
          <w:rFonts w:hint="eastAsia" w:ascii="ＭＳ 明朝" w:hAnsi="ＭＳ 明朝" w:eastAsia="ＭＳ 明朝"/>
          <w:sz w:val="24"/>
          <w:u w:val="none" w:color="auto"/>
        </w:rPr>
        <w:t>7</w:t>
      </w:r>
      <w:r>
        <w:rPr>
          <w:rFonts w:hint="eastAsia" w:ascii="ＭＳ 明朝" w:hAnsi="ＭＳ 明朝" w:eastAsia="ＭＳ 明朝"/>
          <w:sz w:val="24"/>
          <w:u w:val="none" w:color="auto"/>
        </w:rPr>
        <w:t>年</w:t>
      </w:r>
      <w:r>
        <w:rPr>
          <w:rFonts w:hint="eastAsia" w:ascii="ＭＳ 明朝" w:hAnsi="ＭＳ 明朝" w:eastAsia="ＭＳ 明朝"/>
          <w:sz w:val="24"/>
          <w:u w:val="none" w:color="auto"/>
        </w:rPr>
        <w:t>4</w:t>
      </w:r>
      <w:r>
        <w:rPr>
          <w:rFonts w:hint="eastAsia" w:ascii="ＭＳ 明朝" w:hAnsi="ＭＳ 明朝" w:eastAsia="ＭＳ 明朝"/>
          <w:sz w:val="24"/>
          <w:u w:val="none" w:color="auto"/>
        </w:rPr>
        <w:t>月</w:t>
      </w:r>
      <w:r>
        <w:rPr>
          <w:rFonts w:hint="eastAsia" w:ascii="ＭＳ 明朝" w:hAnsi="ＭＳ 明朝" w:eastAsia="ＭＳ 明朝"/>
          <w:sz w:val="24"/>
          <w:u w:val="none" w:color="auto"/>
        </w:rPr>
        <w:t>1</w:t>
      </w:r>
      <w:r>
        <w:rPr>
          <w:rFonts w:hint="eastAsia" w:ascii="ＭＳ 明朝" w:hAnsi="ＭＳ 明朝" w:eastAsia="ＭＳ 明朝"/>
          <w:sz w:val="24"/>
          <w:u w:val="none" w:color="auto"/>
        </w:rPr>
        <w:t>日から令和</w:t>
      </w:r>
      <w:r>
        <w:rPr>
          <w:rFonts w:hint="eastAsia" w:ascii="ＭＳ 明朝" w:hAnsi="ＭＳ 明朝" w:eastAsia="ＭＳ 明朝"/>
          <w:sz w:val="24"/>
          <w:u w:val="none" w:color="auto"/>
        </w:rPr>
        <w:t>8</w:t>
      </w:r>
      <w:r>
        <w:rPr>
          <w:rFonts w:hint="eastAsia" w:ascii="ＭＳ 明朝" w:hAnsi="ＭＳ 明朝" w:eastAsia="ＭＳ 明朝"/>
          <w:sz w:val="24"/>
          <w:u w:val="none" w:color="auto"/>
        </w:rPr>
        <w:t>年</w:t>
      </w:r>
      <w:r>
        <w:rPr>
          <w:rFonts w:hint="eastAsia" w:ascii="ＭＳ 明朝" w:hAnsi="ＭＳ 明朝" w:eastAsia="ＭＳ 明朝"/>
          <w:sz w:val="24"/>
          <w:u w:val="none" w:color="auto"/>
        </w:rPr>
        <w:t>3</w:t>
      </w:r>
      <w:r>
        <w:rPr>
          <w:rFonts w:hint="eastAsia" w:ascii="ＭＳ 明朝" w:hAnsi="ＭＳ 明朝" w:eastAsia="ＭＳ 明朝"/>
          <w:sz w:val="24"/>
          <w:u w:val="none" w:color="auto"/>
        </w:rPr>
        <w:t>月</w:t>
      </w:r>
      <w:r>
        <w:rPr>
          <w:rFonts w:hint="eastAsia" w:ascii="ＭＳ 明朝" w:hAnsi="ＭＳ 明朝" w:eastAsia="ＭＳ 明朝"/>
          <w:sz w:val="24"/>
          <w:u w:val="none" w:color="auto"/>
        </w:rPr>
        <w:t>31</w:t>
      </w:r>
      <w:r>
        <w:rPr>
          <w:rFonts w:hint="eastAsia" w:ascii="ＭＳ 明朝" w:hAnsi="ＭＳ 明朝" w:eastAsia="ＭＳ 明朝"/>
          <w:sz w:val="24"/>
          <w:u w:val="none" w:color="auto"/>
        </w:rPr>
        <w:t>日事業年度の有価証券報告書の貸借対照表の数値を用いること。</w:t>
      </w: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※決算月が</w:t>
      </w:r>
      <w:r>
        <w:rPr>
          <w:rFonts w:hint="eastAsia" w:ascii="ＭＳ 明朝" w:hAnsi="ＭＳ 明朝" w:eastAsia="ＭＳ 明朝"/>
          <w:sz w:val="24"/>
          <w:u w:val="none" w:color="auto"/>
        </w:rPr>
        <w:t>3</w:t>
      </w:r>
      <w:r>
        <w:rPr>
          <w:rFonts w:hint="eastAsia" w:ascii="ＭＳ 明朝" w:hAnsi="ＭＳ 明朝" w:eastAsia="ＭＳ 明朝"/>
          <w:sz w:val="24"/>
          <w:u w:val="none" w:color="auto"/>
        </w:rPr>
        <w:t>月以外の場合は、直近の確定した貸借対照表の数値を用いること。</w:t>
      </w: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※連結親会社の場合は、連結財務諸表、連結子会社の場合は、単体の財務諸表の数値を用いること。</w:t>
      </w: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※数値を引用した書類を添付のうえ、引用数値をマーカーで明示す</w:t>
      </w:r>
      <w:bookmarkStart w:id="0" w:name="_GoBack"/>
      <w:bookmarkEnd w:id="0"/>
      <w:r>
        <w:rPr>
          <w:rFonts w:hint="eastAsia" w:ascii="ＭＳ 明朝" w:hAnsi="ＭＳ 明朝" w:eastAsia="ＭＳ 明朝"/>
          <w:sz w:val="24"/>
          <w:u w:val="none" w:color="auto"/>
        </w:rPr>
        <w:t>ること。</w:t>
      </w:r>
    </w:p>
    <w:sectPr>
      <w:pgSz w:w="16838" w:h="11906" w:orient="landscape"/>
      <w:pgMar w:top="1701" w:right="1985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50</TotalTime>
  <Pages>1</Pages>
  <Words>7</Words>
  <Characters>226</Characters>
  <Application>JUST Note</Application>
  <Lines>33</Lines>
  <Paragraphs>18</Paragraphs>
  <Company>箕面市役所</Company>
  <CharactersWithSpaces>280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松本　茂(手動)</dc:creator>
  <cp:lastModifiedBy>林　大志(手動)</cp:lastModifiedBy>
  <dcterms:created xsi:type="dcterms:W3CDTF">2020-03-04T05:54:00Z</dcterms:created>
  <dcterms:modified xsi:type="dcterms:W3CDTF">2026-05-07T02:46:57Z</dcterms:modified>
  <cp:revision>2</cp:revision>
</cp:coreProperties>
</file>