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10</w:t>
      </w:r>
    </w:p>
    <w:p>
      <w:pPr>
        <w:pStyle w:val="0"/>
        <w:jc w:val="center"/>
        <w:rPr>
          <w:rFonts w:hint="default" w:ascii="ＭＳ 明朝" w:hAnsi="ＭＳ 明朝" w:eastAsia="ＭＳ 明朝"/>
          <w:b w:val="1"/>
          <w:sz w:val="32"/>
        </w:rPr>
      </w:pPr>
      <w:r>
        <w:rPr>
          <w:rFonts w:hint="eastAsia" w:ascii="ＭＳ 明朝" w:hAnsi="ＭＳ 明朝" w:eastAsia="ＭＳ 明朝"/>
          <w:b w:val="1"/>
          <w:sz w:val="32"/>
        </w:rPr>
        <w:t>【提案書】事業者の同種・類似業務の実績（過去</w:t>
      </w:r>
      <w:r>
        <w:rPr>
          <w:rFonts w:hint="eastAsia" w:ascii="ＭＳ 明朝" w:hAnsi="ＭＳ 明朝" w:eastAsia="ＭＳ 明朝"/>
          <w:b w:val="1"/>
          <w:sz w:val="32"/>
        </w:rPr>
        <w:t>5</w:t>
      </w:r>
      <w:r>
        <w:rPr>
          <w:rFonts w:hint="eastAsia" w:ascii="ＭＳ 明朝" w:hAnsi="ＭＳ 明朝" w:eastAsia="ＭＳ 明朝"/>
          <w:b w:val="1"/>
          <w:sz w:val="32"/>
        </w:rPr>
        <w:t>年間）</w:t>
      </w: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u w:val="single" w:color="auto"/>
          <w:shd w:val="pct15" w:color="auto" w:fill="auto"/>
        </w:rPr>
        <w:t>　　　　　　　　　　　　　　　　</w:t>
      </w:r>
    </w:p>
    <w:p>
      <w:pPr>
        <w:pStyle w:val="0"/>
        <w:rPr>
          <w:rFonts w:hint="default" w:ascii="ＭＳ 明朝" w:hAnsi="ＭＳ 明朝" w:eastAsia="ＭＳ 明朝"/>
          <w:sz w:val="24"/>
        </w:rPr>
      </w:pPr>
    </w:p>
    <w:tbl>
      <w:tblPr>
        <w:tblStyle w:val="21"/>
        <w:tblpPr w:leftFromText="0" w:rightFromText="0" w:topFromText="0" w:bottomFromText="0" w:vertAnchor="text" w:horzAnchor="margin" w:tblpX="239" w:tblpY="15"/>
        <w:tblOverlap w:val="never"/>
        <w:tblW w:w="0" w:type="auto"/>
        <w:tblLayout w:type="fixed"/>
        <w:tblLook w:firstRow="1" w:lastRow="0" w:firstColumn="1" w:lastColumn="0" w:noHBand="0" w:noVBand="1" w:val="04A0"/>
      </w:tblPr>
      <w:tblGrid>
        <w:gridCol w:w="630"/>
        <w:gridCol w:w="2520"/>
        <w:gridCol w:w="2730"/>
        <w:gridCol w:w="3150"/>
        <w:gridCol w:w="3840"/>
      </w:tblGrid>
      <w:tr>
        <w:trPr>
          <w:trHeight w:val="360" w:hRule="atLeast"/>
        </w:trPr>
        <w:tc>
          <w:tcPr>
            <w:tcW w:w="630" w:type="dxa"/>
            <w:vMerge w:val="restart"/>
            <w:vAlign w:val="top"/>
          </w:tcPr>
          <w:p>
            <w:pPr>
              <w:pStyle w:val="0"/>
              <w:rPr>
                <w:rFonts w:hint="default"/>
              </w:rPr>
            </w:pPr>
          </w:p>
        </w:tc>
        <w:tc>
          <w:tcPr>
            <w:tcW w:w="12240" w:type="dxa"/>
            <w:gridSpan w:val="4"/>
            <w:vAlign w:val="top"/>
          </w:tcPr>
          <w:p>
            <w:pPr>
              <w:pStyle w:val="0"/>
              <w:jc w:val="center"/>
              <w:rPr>
                <w:rFonts w:hint="default"/>
                <w:b w:val="1"/>
              </w:rPr>
            </w:pPr>
            <w:r>
              <w:rPr>
                <w:rFonts w:hint="eastAsia" w:ascii="ＭＳ 明朝" w:hAnsi="ＭＳ 明朝" w:eastAsia="ＭＳ 明朝"/>
                <w:b w:val="1"/>
                <w:sz w:val="24"/>
              </w:rPr>
              <w:t>同種・類似業務の実績</w:t>
            </w:r>
          </w:p>
        </w:tc>
      </w:tr>
      <w:tr>
        <w:trPr/>
        <w:tc>
          <w:tcPr>
            <w:tcW w:w="630" w:type="dxa"/>
            <w:vMerge w:val="continue"/>
            <w:vAlign w:val="top"/>
          </w:tcPr>
          <w:p>
            <w:pPr>
              <w:pStyle w:val="0"/>
              <w:rPr>
                <w:rFonts w:hint="default"/>
              </w:rPr>
            </w:pPr>
          </w:p>
        </w:tc>
        <w:tc>
          <w:tcPr>
            <w:tcW w:w="2520" w:type="dxa"/>
            <w:vAlign w:val="top"/>
          </w:tcPr>
          <w:p>
            <w:pPr>
              <w:pStyle w:val="0"/>
              <w:jc w:val="center"/>
              <w:rPr>
                <w:rFonts w:hint="default" w:ascii="ＭＳ 明朝" w:hAnsi="ＭＳ 明朝" w:eastAsia="ＭＳ 明朝"/>
                <w:b w:val="1"/>
                <w:sz w:val="24"/>
              </w:rPr>
            </w:pPr>
            <w:r>
              <w:rPr>
                <w:rFonts w:hint="eastAsia" w:ascii="ＭＳ 明朝" w:hAnsi="ＭＳ 明朝" w:eastAsia="ＭＳ 明朝"/>
                <w:b w:val="1"/>
                <w:sz w:val="24"/>
              </w:rPr>
              <w:t>業務名</w:t>
            </w:r>
          </w:p>
        </w:tc>
        <w:tc>
          <w:tcPr>
            <w:tcW w:w="2730" w:type="dxa"/>
            <w:vAlign w:val="top"/>
          </w:tcPr>
          <w:p>
            <w:pPr>
              <w:pStyle w:val="0"/>
              <w:jc w:val="center"/>
              <w:rPr>
                <w:rFonts w:hint="default" w:ascii="ＭＳ 明朝" w:hAnsi="ＭＳ 明朝" w:eastAsia="ＭＳ 明朝"/>
                <w:b w:val="1"/>
                <w:sz w:val="24"/>
              </w:rPr>
            </w:pPr>
            <w:r>
              <w:rPr>
                <w:rFonts w:hint="eastAsia" w:ascii="ＭＳ 明朝" w:hAnsi="ＭＳ 明朝" w:eastAsia="ＭＳ 明朝"/>
                <w:b w:val="1"/>
                <w:sz w:val="24"/>
              </w:rPr>
              <w:t>発注者</w:t>
            </w:r>
          </w:p>
        </w:tc>
        <w:tc>
          <w:tcPr>
            <w:tcW w:w="3150" w:type="dxa"/>
            <w:vAlign w:val="top"/>
          </w:tcPr>
          <w:p>
            <w:pPr>
              <w:pStyle w:val="0"/>
              <w:jc w:val="center"/>
              <w:rPr>
                <w:rFonts w:hint="default" w:ascii="ＭＳ 明朝" w:hAnsi="ＭＳ 明朝" w:eastAsia="ＭＳ 明朝"/>
                <w:b w:val="1"/>
                <w:sz w:val="24"/>
              </w:rPr>
            </w:pPr>
            <w:r>
              <w:rPr>
                <w:rFonts w:hint="eastAsia" w:ascii="ＭＳ 明朝" w:hAnsi="ＭＳ 明朝" w:eastAsia="ＭＳ 明朝"/>
                <w:b w:val="1"/>
                <w:sz w:val="24"/>
              </w:rPr>
              <w:t>金額</w:t>
            </w:r>
          </w:p>
        </w:tc>
        <w:tc>
          <w:tcPr>
            <w:tcW w:w="3840" w:type="dxa"/>
            <w:vAlign w:val="top"/>
          </w:tcPr>
          <w:p>
            <w:pPr>
              <w:pStyle w:val="0"/>
              <w:jc w:val="center"/>
              <w:rPr>
                <w:rFonts w:hint="default"/>
                <w:b w:val="1"/>
              </w:rPr>
            </w:pPr>
            <w:r>
              <w:rPr>
                <w:rFonts w:hint="eastAsia" w:ascii="ＭＳ 明朝" w:hAnsi="ＭＳ 明朝" w:eastAsia="ＭＳ 明朝"/>
                <w:b w:val="1"/>
                <w:sz w:val="24"/>
              </w:rPr>
              <w:t>業務内容</w:t>
            </w:r>
          </w:p>
        </w:tc>
      </w:tr>
      <w:tr>
        <w:trPr/>
        <w:tc>
          <w:tcPr>
            <w:tcW w:w="630" w:type="dxa"/>
            <w:shd w:val="clear" w:color="auto" w:fill="FFFFBE"/>
            <w:vAlign w:val="top"/>
          </w:tcPr>
          <w:p>
            <w:pPr>
              <w:pStyle w:val="0"/>
              <w:jc w:val="center"/>
              <w:rPr>
                <w:rFonts w:hint="default"/>
              </w:rPr>
            </w:pPr>
            <w:r>
              <w:rPr>
                <w:rFonts w:hint="eastAsia"/>
              </w:rPr>
              <w:t>１</w:t>
            </w:r>
          </w:p>
        </w:tc>
        <w:tc>
          <w:tcPr>
            <w:tcW w:w="2520" w:type="dxa"/>
            <w:shd w:val="clear" w:color="auto" w:fill="FFFFBE"/>
            <w:vAlign w:val="top"/>
          </w:tcPr>
          <w:p>
            <w:pPr>
              <w:pStyle w:val="0"/>
              <w:rPr>
                <w:rFonts w:hint="default" w:ascii="ＭＳ 明朝" w:hAnsi="ＭＳ 明朝" w:eastAsia="ＭＳ 明朝"/>
              </w:rPr>
            </w:pPr>
          </w:p>
        </w:tc>
        <w:tc>
          <w:tcPr>
            <w:tcW w:w="2730" w:type="dxa"/>
            <w:shd w:val="clear" w:color="auto" w:fill="FFFFBE"/>
            <w:vAlign w:val="top"/>
          </w:tcPr>
          <w:p>
            <w:pPr>
              <w:pStyle w:val="0"/>
              <w:rPr>
                <w:rFonts w:hint="default" w:ascii="ＭＳ 明朝" w:hAnsi="ＭＳ 明朝" w:eastAsia="ＭＳ 明朝"/>
              </w:rPr>
            </w:pPr>
          </w:p>
        </w:tc>
        <w:tc>
          <w:tcPr>
            <w:tcW w:w="3150" w:type="dxa"/>
            <w:shd w:val="clear" w:color="auto" w:fill="FFFFBE"/>
            <w:vAlign w:val="top"/>
          </w:tcPr>
          <w:p>
            <w:pPr>
              <w:pStyle w:val="0"/>
              <w:rPr>
                <w:rFonts w:hint="default" w:ascii="ＭＳ 明朝" w:hAnsi="ＭＳ 明朝" w:eastAsia="ＭＳ 明朝"/>
              </w:rPr>
            </w:pPr>
          </w:p>
        </w:tc>
        <w:tc>
          <w:tcPr>
            <w:tcW w:w="3840" w:type="dxa"/>
            <w:shd w:val="clear" w:color="auto" w:fill="FFFFBE"/>
            <w:vAlign w:val="top"/>
          </w:tcPr>
          <w:p>
            <w:pPr>
              <w:pStyle w:val="0"/>
              <w:rPr>
                <w:rFonts w:hint="default"/>
              </w:rPr>
            </w:pPr>
          </w:p>
        </w:tc>
      </w:tr>
      <w:tr>
        <w:trPr/>
        <w:tc>
          <w:tcPr>
            <w:tcW w:w="630" w:type="dxa"/>
            <w:shd w:val="clear" w:color="auto" w:fill="FFFFBE"/>
            <w:vAlign w:val="top"/>
          </w:tcPr>
          <w:p>
            <w:pPr>
              <w:pStyle w:val="0"/>
              <w:jc w:val="center"/>
              <w:rPr>
                <w:rFonts w:hint="default"/>
              </w:rPr>
            </w:pPr>
            <w:r>
              <w:rPr>
                <w:rFonts w:hint="eastAsia"/>
              </w:rPr>
              <w:t>２</w:t>
            </w:r>
          </w:p>
        </w:tc>
        <w:tc>
          <w:tcPr>
            <w:tcW w:w="2520" w:type="dxa"/>
            <w:shd w:val="clear" w:color="auto" w:fill="FFFFBE"/>
            <w:vAlign w:val="top"/>
          </w:tcPr>
          <w:p>
            <w:pPr>
              <w:pStyle w:val="0"/>
              <w:rPr>
                <w:rFonts w:hint="default" w:ascii="ＭＳ 明朝" w:hAnsi="ＭＳ 明朝" w:eastAsia="ＭＳ 明朝"/>
              </w:rPr>
            </w:pPr>
          </w:p>
        </w:tc>
        <w:tc>
          <w:tcPr>
            <w:tcW w:w="2730" w:type="dxa"/>
            <w:shd w:val="clear" w:color="auto" w:fill="FFFFBE"/>
            <w:vAlign w:val="top"/>
          </w:tcPr>
          <w:p>
            <w:pPr>
              <w:pStyle w:val="0"/>
              <w:rPr>
                <w:rFonts w:hint="default" w:ascii="ＭＳ 明朝" w:hAnsi="ＭＳ 明朝" w:eastAsia="ＭＳ 明朝"/>
              </w:rPr>
            </w:pPr>
          </w:p>
        </w:tc>
        <w:tc>
          <w:tcPr>
            <w:tcW w:w="3150" w:type="dxa"/>
            <w:shd w:val="clear" w:color="auto" w:fill="FFFFBE"/>
            <w:vAlign w:val="top"/>
          </w:tcPr>
          <w:p>
            <w:pPr>
              <w:pStyle w:val="0"/>
              <w:rPr>
                <w:rFonts w:hint="default" w:ascii="ＭＳ 明朝" w:hAnsi="ＭＳ 明朝" w:eastAsia="ＭＳ 明朝"/>
              </w:rPr>
            </w:pPr>
          </w:p>
        </w:tc>
        <w:tc>
          <w:tcPr>
            <w:tcW w:w="3840" w:type="dxa"/>
            <w:shd w:val="clear" w:color="auto" w:fill="FFFFBE"/>
            <w:vAlign w:val="top"/>
          </w:tcPr>
          <w:p>
            <w:pPr>
              <w:pStyle w:val="0"/>
              <w:rPr>
                <w:rFonts w:hint="default"/>
              </w:rPr>
            </w:pPr>
          </w:p>
        </w:tc>
      </w:tr>
      <w:tr>
        <w:trPr/>
        <w:tc>
          <w:tcPr>
            <w:tcW w:w="630" w:type="dxa"/>
            <w:shd w:val="clear" w:color="auto" w:fill="FFFFBE"/>
            <w:vAlign w:val="top"/>
          </w:tcPr>
          <w:p>
            <w:pPr>
              <w:pStyle w:val="0"/>
              <w:jc w:val="center"/>
              <w:rPr>
                <w:rFonts w:hint="default"/>
              </w:rPr>
            </w:pPr>
            <w:r>
              <w:rPr>
                <w:rFonts w:hint="eastAsia"/>
              </w:rPr>
              <w:t>３</w:t>
            </w:r>
          </w:p>
        </w:tc>
        <w:tc>
          <w:tcPr>
            <w:tcW w:w="2520" w:type="dxa"/>
            <w:shd w:val="clear" w:color="auto" w:fill="FFFFBE"/>
            <w:vAlign w:val="top"/>
          </w:tcPr>
          <w:p>
            <w:pPr>
              <w:pStyle w:val="0"/>
              <w:rPr>
                <w:rFonts w:hint="default" w:ascii="ＭＳ 明朝" w:hAnsi="ＭＳ 明朝" w:eastAsia="ＭＳ 明朝"/>
              </w:rPr>
            </w:pPr>
          </w:p>
        </w:tc>
        <w:tc>
          <w:tcPr>
            <w:tcW w:w="2730" w:type="dxa"/>
            <w:shd w:val="clear" w:color="auto" w:fill="FFFFBE"/>
            <w:vAlign w:val="top"/>
          </w:tcPr>
          <w:p>
            <w:pPr>
              <w:pStyle w:val="0"/>
              <w:rPr>
                <w:rFonts w:hint="default" w:ascii="ＭＳ 明朝" w:hAnsi="ＭＳ 明朝" w:eastAsia="ＭＳ 明朝"/>
              </w:rPr>
            </w:pPr>
          </w:p>
        </w:tc>
        <w:tc>
          <w:tcPr>
            <w:tcW w:w="3150" w:type="dxa"/>
            <w:shd w:val="clear" w:color="auto" w:fill="FFFFBE"/>
            <w:vAlign w:val="top"/>
          </w:tcPr>
          <w:p>
            <w:pPr>
              <w:pStyle w:val="0"/>
              <w:rPr>
                <w:rFonts w:hint="default" w:ascii="ＭＳ 明朝" w:hAnsi="ＭＳ 明朝" w:eastAsia="ＭＳ 明朝"/>
              </w:rPr>
            </w:pPr>
          </w:p>
        </w:tc>
        <w:tc>
          <w:tcPr>
            <w:tcW w:w="3840" w:type="dxa"/>
            <w:shd w:val="clear" w:color="auto" w:fill="FFFFBE"/>
            <w:vAlign w:val="top"/>
          </w:tcPr>
          <w:p>
            <w:pPr>
              <w:pStyle w:val="0"/>
              <w:rPr>
                <w:rFonts w:hint="default"/>
              </w:rPr>
            </w:pPr>
          </w:p>
        </w:tc>
      </w:tr>
      <w:tr>
        <w:trPr/>
        <w:tc>
          <w:tcPr>
            <w:tcW w:w="630" w:type="dxa"/>
            <w:shd w:val="clear" w:color="auto" w:fill="FFFFBE"/>
            <w:vAlign w:val="top"/>
          </w:tcPr>
          <w:p>
            <w:pPr>
              <w:pStyle w:val="0"/>
              <w:jc w:val="center"/>
              <w:rPr>
                <w:rFonts w:hint="default"/>
              </w:rPr>
            </w:pPr>
            <w:r>
              <w:rPr>
                <w:rFonts w:hint="eastAsia"/>
              </w:rPr>
              <w:t>４</w:t>
            </w:r>
          </w:p>
        </w:tc>
        <w:tc>
          <w:tcPr>
            <w:tcW w:w="2520" w:type="dxa"/>
            <w:shd w:val="clear" w:color="auto" w:fill="FFFFBE"/>
            <w:vAlign w:val="top"/>
          </w:tcPr>
          <w:p>
            <w:pPr>
              <w:pStyle w:val="0"/>
              <w:rPr>
                <w:rFonts w:hint="default" w:ascii="ＭＳ 明朝" w:hAnsi="ＭＳ 明朝" w:eastAsia="ＭＳ 明朝"/>
              </w:rPr>
            </w:pPr>
          </w:p>
        </w:tc>
        <w:tc>
          <w:tcPr>
            <w:tcW w:w="2730" w:type="dxa"/>
            <w:shd w:val="clear" w:color="auto" w:fill="FFFFBE"/>
            <w:vAlign w:val="top"/>
          </w:tcPr>
          <w:p>
            <w:pPr>
              <w:pStyle w:val="0"/>
              <w:rPr>
                <w:rFonts w:hint="default" w:ascii="ＭＳ 明朝" w:hAnsi="ＭＳ 明朝" w:eastAsia="ＭＳ 明朝"/>
              </w:rPr>
            </w:pPr>
          </w:p>
        </w:tc>
        <w:tc>
          <w:tcPr>
            <w:tcW w:w="3150" w:type="dxa"/>
            <w:shd w:val="clear" w:color="auto" w:fill="FFFFBE"/>
            <w:vAlign w:val="top"/>
          </w:tcPr>
          <w:p>
            <w:pPr>
              <w:pStyle w:val="0"/>
              <w:rPr>
                <w:rFonts w:hint="default" w:ascii="ＭＳ 明朝" w:hAnsi="ＭＳ 明朝" w:eastAsia="ＭＳ 明朝"/>
              </w:rPr>
            </w:pPr>
          </w:p>
        </w:tc>
        <w:tc>
          <w:tcPr>
            <w:tcW w:w="3840" w:type="dxa"/>
            <w:shd w:val="clear" w:color="auto" w:fill="FFFFBE"/>
            <w:vAlign w:val="top"/>
          </w:tcPr>
          <w:p>
            <w:pPr>
              <w:pStyle w:val="0"/>
              <w:rPr>
                <w:rFonts w:hint="default"/>
              </w:rPr>
            </w:pPr>
          </w:p>
        </w:tc>
      </w:tr>
      <w:tr>
        <w:trPr/>
        <w:tc>
          <w:tcPr>
            <w:tcW w:w="630" w:type="dxa"/>
            <w:shd w:val="clear" w:color="auto" w:fill="FFFFBE"/>
            <w:vAlign w:val="top"/>
          </w:tcPr>
          <w:p>
            <w:pPr>
              <w:pStyle w:val="0"/>
              <w:jc w:val="center"/>
              <w:rPr>
                <w:rFonts w:hint="default"/>
              </w:rPr>
            </w:pPr>
            <w:r>
              <w:rPr>
                <w:rFonts w:hint="eastAsia"/>
              </w:rPr>
              <w:t>５</w:t>
            </w:r>
          </w:p>
        </w:tc>
        <w:tc>
          <w:tcPr>
            <w:tcW w:w="2520" w:type="dxa"/>
            <w:shd w:val="clear" w:color="auto" w:fill="FFFFBE"/>
            <w:vAlign w:val="top"/>
          </w:tcPr>
          <w:p>
            <w:pPr>
              <w:pStyle w:val="0"/>
              <w:rPr>
                <w:rFonts w:hint="default" w:ascii="ＭＳ 明朝" w:hAnsi="ＭＳ 明朝" w:eastAsia="ＭＳ 明朝"/>
              </w:rPr>
            </w:pPr>
          </w:p>
        </w:tc>
        <w:tc>
          <w:tcPr>
            <w:tcW w:w="2730" w:type="dxa"/>
            <w:shd w:val="clear" w:color="auto" w:fill="FFFFBE"/>
            <w:vAlign w:val="top"/>
          </w:tcPr>
          <w:p>
            <w:pPr>
              <w:pStyle w:val="0"/>
              <w:rPr>
                <w:rFonts w:hint="default" w:ascii="ＭＳ 明朝" w:hAnsi="ＭＳ 明朝" w:eastAsia="ＭＳ 明朝"/>
              </w:rPr>
            </w:pPr>
          </w:p>
        </w:tc>
        <w:tc>
          <w:tcPr>
            <w:tcW w:w="3150" w:type="dxa"/>
            <w:shd w:val="clear" w:color="auto" w:fill="FFFFBE"/>
            <w:vAlign w:val="top"/>
          </w:tcPr>
          <w:p>
            <w:pPr>
              <w:pStyle w:val="0"/>
              <w:rPr>
                <w:rFonts w:hint="default" w:ascii="ＭＳ 明朝" w:hAnsi="ＭＳ 明朝" w:eastAsia="ＭＳ 明朝"/>
              </w:rPr>
            </w:pPr>
          </w:p>
        </w:tc>
        <w:tc>
          <w:tcPr>
            <w:tcW w:w="3840" w:type="dxa"/>
            <w:shd w:val="clear" w:color="auto" w:fill="FFFFBE"/>
            <w:vAlign w:val="top"/>
          </w:tcPr>
          <w:p>
            <w:pPr>
              <w:pStyle w:val="0"/>
              <w:rPr>
                <w:rFonts w:hint="default"/>
              </w:rPr>
            </w:pPr>
          </w:p>
        </w:tc>
      </w:tr>
      <w:tr>
        <w:trPr/>
        <w:tc>
          <w:tcPr>
            <w:tcW w:w="630" w:type="dxa"/>
            <w:shd w:val="clear" w:color="auto" w:fill="FFFFBE"/>
            <w:vAlign w:val="top"/>
          </w:tcPr>
          <w:p>
            <w:pPr>
              <w:pStyle w:val="0"/>
              <w:jc w:val="center"/>
              <w:rPr>
                <w:rFonts w:hint="default"/>
              </w:rPr>
            </w:pPr>
            <w:r>
              <w:rPr>
                <w:rFonts w:hint="eastAsia"/>
              </w:rPr>
              <w:t>６</w:t>
            </w:r>
          </w:p>
        </w:tc>
        <w:tc>
          <w:tcPr>
            <w:tcW w:w="2520" w:type="dxa"/>
            <w:shd w:val="clear" w:color="auto" w:fill="FFFFBE"/>
            <w:vAlign w:val="top"/>
          </w:tcPr>
          <w:p>
            <w:pPr>
              <w:pStyle w:val="0"/>
              <w:rPr>
                <w:rFonts w:hint="default"/>
              </w:rPr>
            </w:pPr>
          </w:p>
        </w:tc>
        <w:tc>
          <w:tcPr>
            <w:tcW w:w="2730" w:type="dxa"/>
            <w:shd w:val="clear" w:color="auto" w:fill="FFFFBE"/>
            <w:vAlign w:val="top"/>
          </w:tcPr>
          <w:p>
            <w:pPr>
              <w:pStyle w:val="0"/>
              <w:rPr>
                <w:rFonts w:hint="default"/>
              </w:rPr>
            </w:pPr>
          </w:p>
        </w:tc>
        <w:tc>
          <w:tcPr>
            <w:tcW w:w="3150" w:type="dxa"/>
            <w:shd w:val="clear" w:color="auto" w:fill="FFFFBE"/>
            <w:vAlign w:val="top"/>
          </w:tcPr>
          <w:p>
            <w:pPr>
              <w:pStyle w:val="0"/>
              <w:rPr>
                <w:rFonts w:hint="default"/>
              </w:rPr>
            </w:pPr>
          </w:p>
        </w:tc>
        <w:tc>
          <w:tcPr>
            <w:tcW w:w="3840" w:type="dxa"/>
            <w:shd w:val="clear" w:color="auto" w:fill="FFFFBE"/>
            <w:vAlign w:val="top"/>
          </w:tcPr>
          <w:p>
            <w:pPr>
              <w:pStyle w:val="0"/>
              <w:rPr>
                <w:rFonts w:hint="default"/>
              </w:rPr>
            </w:pPr>
          </w:p>
        </w:tc>
      </w:tr>
      <w:tr>
        <w:trPr/>
        <w:tc>
          <w:tcPr>
            <w:tcW w:w="630" w:type="dxa"/>
            <w:shd w:val="clear" w:color="auto" w:fill="FFFFBE"/>
            <w:vAlign w:val="top"/>
          </w:tcPr>
          <w:p>
            <w:pPr>
              <w:pStyle w:val="0"/>
              <w:jc w:val="center"/>
              <w:rPr>
                <w:rFonts w:hint="default"/>
              </w:rPr>
            </w:pPr>
            <w:r>
              <w:rPr>
                <w:rFonts w:hint="eastAsia"/>
              </w:rPr>
              <w:t>７</w:t>
            </w:r>
          </w:p>
        </w:tc>
        <w:tc>
          <w:tcPr>
            <w:tcW w:w="2520" w:type="dxa"/>
            <w:shd w:val="clear" w:color="auto" w:fill="FFFFBE"/>
            <w:vAlign w:val="top"/>
          </w:tcPr>
          <w:p>
            <w:pPr>
              <w:pStyle w:val="0"/>
              <w:rPr>
                <w:rFonts w:hint="default"/>
              </w:rPr>
            </w:pPr>
          </w:p>
        </w:tc>
        <w:tc>
          <w:tcPr>
            <w:tcW w:w="2730" w:type="dxa"/>
            <w:shd w:val="clear" w:color="auto" w:fill="FFFFBE"/>
            <w:vAlign w:val="top"/>
          </w:tcPr>
          <w:p>
            <w:pPr>
              <w:pStyle w:val="0"/>
              <w:rPr>
                <w:rFonts w:hint="default"/>
              </w:rPr>
            </w:pPr>
          </w:p>
        </w:tc>
        <w:tc>
          <w:tcPr>
            <w:tcW w:w="3150" w:type="dxa"/>
            <w:shd w:val="clear" w:color="auto" w:fill="FFFFBE"/>
            <w:vAlign w:val="top"/>
          </w:tcPr>
          <w:p>
            <w:pPr>
              <w:pStyle w:val="0"/>
              <w:rPr>
                <w:rFonts w:hint="default"/>
              </w:rPr>
            </w:pPr>
          </w:p>
        </w:tc>
        <w:tc>
          <w:tcPr>
            <w:tcW w:w="3840" w:type="dxa"/>
            <w:shd w:val="clear" w:color="auto" w:fill="FFFFBE"/>
            <w:vAlign w:val="top"/>
          </w:tcPr>
          <w:p>
            <w:pPr>
              <w:pStyle w:val="0"/>
              <w:rPr>
                <w:rFonts w:hint="default"/>
              </w:rPr>
            </w:pPr>
          </w:p>
        </w:tc>
      </w:tr>
      <w:tr>
        <w:trPr/>
        <w:tc>
          <w:tcPr>
            <w:tcW w:w="630" w:type="dxa"/>
            <w:shd w:val="clear" w:color="auto" w:fill="FFFFBE"/>
            <w:vAlign w:val="top"/>
          </w:tcPr>
          <w:p>
            <w:pPr>
              <w:pStyle w:val="0"/>
              <w:jc w:val="center"/>
              <w:rPr>
                <w:rFonts w:hint="default"/>
              </w:rPr>
            </w:pPr>
            <w:r>
              <w:rPr>
                <w:rFonts w:hint="eastAsia"/>
              </w:rPr>
              <w:t>８</w:t>
            </w:r>
          </w:p>
        </w:tc>
        <w:tc>
          <w:tcPr>
            <w:tcW w:w="2520" w:type="dxa"/>
            <w:shd w:val="clear" w:color="auto" w:fill="FFFFBE"/>
            <w:vAlign w:val="top"/>
          </w:tcPr>
          <w:p>
            <w:pPr>
              <w:pStyle w:val="0"/>
              <w:rPr>
                <w:rFonts w:hint="default"/>
              </w:rPr>
            </w:pPr>
          </w:p>
        </w:tc>
        <w:tc>
          <w:tcPr>
            <w:tcW w:w="2730" w:type="dxa"/>
            <w:shd w:val="clear" w:color="auto" w:fill="FFFFBE"/>
            <w:vAlign w:val="top"/>
          </w:tcPr>
          <w:p>
            <w:pPr>
              <w:pStyle w:val="0"/>
              <w:rPr>
                <w:rFonts w:hint="default"/>
              </w:rPr>
            </w:pPr>
          </w:p>
        </w:tc>
        <w:tc>
          <w:tcPr>
            <w:tcW w:w="3150" w:type="dxa"/>
            <w:shd w:val="clear" w:color="auto" w:fill="FFFFBE"/>
            <w:vAlign w:val="top"/>
          </w:tcPr>
          <w:p>
            <w:pPr>
              <w:pStyle w:val="0"/>
              <w:rPr>
                <w:rFonts w:hint="default"/>
              </w:rPr>
            </w:pPr>
          </w:p>
        </w:tc>
        <w:tc>
          <w:tcPr>
            <w:tcW w:w="3840" w:type="dxa"/>
            <w:shd w:val="clear" w:color="auto" w:fill="FFFFBE"/>
            <w:vAlign w:val="top"/>
          </w:tcPr>
          <w:p>
            <w:pPr>
              <w:pStyle w:val="0"/>
              <w:rPr>
                <w:rFonts w:hint="default"/>
              </w:rPr>
            </w:pPr>
          </w:p>
        </w:tc>
      </w:tr>
    </w:tbl>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0"/>
        </w:rPr>
      </w:pPr>
      <w:r>
        <w:rPr>
          <w:rFonts w:hint="eastAsia" w:ascii="ＭＳ 明朝" w:hAnsi="ＭＳ 明朝" w:eastAsia="ＭＳ 明朝"/>
          <w:sz w:val="20"/>
        </w:rPr>
        <w:t>※同種・類似業務での受託実績（受注内容及び受注金額）を評価する。評価対象は平成</w:t>
      </w:r>
      <w:r>
        <w:rPr>
          <w:rFonts w:hint="eastAsia" w:ascii="ＭＳ 明朝" w:hAnsi="ＭＳ 明朝" w:eastAsia="ＭＳ 明朝"/>
          <w:sz w:val="20"/>
        </w:rPr>
        <w:t>29</w:t>
      </w:r>
      <w:r>
        <w:rPr>
          <w:rFonts w:hint="eastAsia" w:ascii="ＭＳ 明朝" w:hAnsi="ＭＳ 明朝" w:eastAsia="ＭＳ 明朝"/>
          <w:sz w:val="20"/>
        </w:rPr>
        <w:t>年度～令和</w:t>
      </w:r>
      <w:r>
        <w:rPr>
          <w:rFonts w:hint="eastAsia" w:ascii="ＭＳ 明朝" w:hAnsi="ＭＳ 明朝" w:eastAsia="ＭＳ 明朝"/>
          <w:sz w:val="20"/>
        </w:rPr>
        <w:t>2</w:t>
      </w:r>
      <w:r>
        <w:rPr>
          <w:rFonts w:hint="eastAsia" w:ascii="ＭＳ 明朝" w:hAnsi="ＭＳ 明朝" w:eastAsia="ＭＳ 明朝"/>
          <w:sz w:val="20"/>
        </w:rPr>
        <w:t>年度中の受託実績とする。</w:t>
      </w:r>
    </w:p>
    <w:p>
      <w:pPr>
        <w:pStyle w:val="0"/>
        <w:rPr>
          <w:rFonts w:hint="eastAsia" w:ascii="ＭＳ 明朝" w:hAnsi="ＭＳ 明朝" w:eastAsia="ＭＳ 明朝"/>
          <w:sz w:val="21"/>
        </w:rPr>
      </w:pPr>
      <w:r>
        <w:rPr>
          <w:rFonts w:hint="eastAsia" w:ascii="ＭＳ 明朝" w:hAnsi="ＭＳ 明朝" w:eastAsia="ＭＳ 明朝"/>
          <w:sz w:val="21"/>
        </w:rPr>
        <w:t>※「同種業務」とは、自治体の教育機関における機器の運用保守業務とする。</w:t>
      </w:r>
    </w:p>
    <w:p>
      <w:pPr>
        <w:pStyle w:val="0"/>
        <w:rPr>
          <w:rFonts w:hint="eastAsia" w:ascii="ＭＳ 明朝" w:hAnsi="ＭＳ 明朝" w:eastAsia="ＭＳ 明朝"/>
          <w:sz w:val="21"/>
        </w:rPr>
      </w:pPr>
      <w:r>
        <w:rPr>
          <w:rFonts w:hint="eastAsia" w:ascii="ＭＳ 明朝" w:hAnsi="ＭＳ 明朝" w:eastAsia="ＭＳ 明朝"/>
          <w:sz w:val="21"/>
        </w:rPr>
        <w:t>※「同規模」とは、公立学校が</w:t>
      </w:r>
      <w:r>
        <w:rPr>
          <w:rFonts w:hint="eastAsia" w:ascii="ＭＳ 明朝" w:hAnsi="ＭＳ 明朝" w:eastAsia="ＭＳ 明朝"/>
          <w:sz w:val="21"/>
        </w:rPr>
        <w:t>20</w:t>
      </w:r>
      <w:r>
        <w:rPr>
          <w:rFonts w:hint="eastAsia" w:ascii="ＭＳ 明朝" w:hAnsi="ＭＳ 明朝" w:eastAsia="ＭＳ 明朝"/>
          <w:sz w:val="21"/>
        </w:rPr>
        <w:t>校以上かつ</w:t>
      </w:r>
      <w:r>
        <w:rPr>
          <w:rFonts w:hint="eastAsia" w:ascii="ＭＳ 明朝" w:hAnsi="ＭＳ 明朝" w:eastAsia="ＭＳ 明朝"/>
          <w:sz w:val="21"/>
        </w:rPr>
        <w:t>15,000</w:t>
      </w:r>
      <w:r>
        <w:rPr>
          <w:rFonts w:hint="eastAsia" w:ascii="ＭＳ 明朝" w:hAnsi="ＭＳ 明朝" w:eastAsia="ＭＳ 明朝"/>
          <w:sz w:val="21"/>
        </w:rPr>
        <w:t>台以上のタブレット等端末を含む運用保守業務の実績があることとする。ただし、</w:t>
      </w:r>
      <w:r>
        <w:rPr>
          <w:rFonts w:hint="eastAsia" w:ascii="ＭＳ 明朝" w:hAnsi="ＭＳ 明朝" w:eastAsia="ＭＳ 明朝"/>
          <w:sz w:val="21"/>
        </w:rPr>
        <w:t>15,000</w:t>
      </w:r>
      <w:r>
        <w:rPr>
          <w:rFonts w:hint="eastAsia" w:ascii="ＭＳ 明朝" w:hAnsi="ＭＳ 明朝" w:eastAsia="ＭＳ 明朝"/>
          <w:sz w:val="21"/>
        </w:rPr>
        <w:t>台以上のタブレット等端末とは、児童生徒が</w:t>
      </w:r>
      <w:r>
        <w:rPr>
          <w:rFonts w:hint="eastAsia" w:ascii="ＭＳ 明朝" w:hAnsi="ＭＳ 明朝" w:eastAsia="ＭＳ 明朝"/>
          <w:sz w:val="21"/>
        </w:rPr>
        <w:t>1</w:t>
      </w:r>
      <w:r>
        <w:rPr>
          <w:rFonts w:hint="eastAsia" w:ascii="ＭＳ 明朝" w:hAnsi="ＭＳ 明朝" w:eastAsia="ＭＳ 明朝"/>
          <w:sz w:val="21"/>
        </w:rPr>
        <w:t>人につき</w:t>
      </w:r>
      <w:r>
        <w:rPr>
          <w:rFonts w:hint="eastAsia" w:ascii="ＭＳ 明朝" w:hAnsi="ＭＳ 明朝" w:eastAsia="ＭＳ 明朝"/>
          <w:sz w:val="21"/>
        </w:rPr>
        <w:t>1</w:t>
      </w:r>
      <w:r>
        <w:rPr>
          <w:rFonts w:hint="eastAsia" w:ascii="ＭＳ 明朝" w:hAnsi="ＭＳ 明朝" w:eastAsia="ＭＳ 明朝"/>
          <w:sz w:val="21"/>
        </w:rPr>
        <w:t>台使用する</w:t>
      </w:r>
      <w:bookmarkStart w:id="0" w:name="_GoBack"/>
      <w:bookmarkEnd w:id="0"/>
      <w:r>
        <w:rPr>
          <w:rFonts w:hint="eastAsia" w:ascii="ＭＳ 明朝" w:hAnsi="ＭＳ 明朝" w:eastAsia="ＭＳ 明朝"/>
          <w:sz w:val="21"/>
        </w:rPr>
        <w:t>学習者用タブレット等端末の台数および教職員が使用する指導者用タブレット等端末の台数を合計したものとする。</w:t>
      </w:r>
    </w:p>
    <w:p>
      <w:pPr>
        <w:pStyle w:val="0"/>
        <w:rPr>
          <w:rFonts w:hint="default" w:ascii="ＭＳ 明朝" w:hAnsi="ＭＳ 明朝" w:eastAsia="ＭＳ 明朝"/>
          <w:sz w:val="22"/>
        </w:rPr>
      </w:pPr>
      <w:r>
        <w:rPr>
          <w:rFonts w:hint="eastAsia" w:ascii="ＭＳ 明朝" w:hAnsi="ＭＳ 明朝" w:eastAsia="ＭＳ 明朝"/>
          <w:sz w:val="21"/>
        </w:rPr>
        <w:t>※「類似業務」とは、公立小中学校に対するヘルプデスクの設置を含めた機器の運用保守業務とする。</w:t>
      </w:r>
    </w:p>
    <w:sectPr>
      <w:pgSz w:w="16838" w:h="11906" w:orient="landscape"/>
      <w:pgMar w:top="1701" w:right="1985"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2</Pages>
  <Words>50</Words>
  <Characters>290</Characters>
  <Application>JUST Note</Application>
  <Lines>2</Lines>
  <Paragraphs>1</Paragraphs>
  <Company>箕面市役所</Company>
  <CharactersWithSpaces>339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新井　千賀</cp:lastModifiedBy>
  <cp:lastPrinted>2021-07-02T00:16:31Z</cp:lastPrinted>
  <dcterms:created xsi:type="dcterms:W3CDTF">2021-06-09T03:48:00Z</dcterms:created>
  <dcterms:modified xsi:type="dcterms:W3CDTF">2021-07-02T00:16:40Z</dcterms:modified>
  <cp:revision>5</cp:revision>
</cp:coreProperties>
</file>