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000000" w:themeColor="text1"/>
          <w:sz w:val="24"/>
        </w:rPr>
        <w:t>11</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【提案書】事業者の同種・類似業務の実績（過去</w:t>
      </w:r>
      <w:r>
        <w:rPr>
          <w:rFonts w:hint="eastAsia" w:ascii="ＭＳ 明朝" w:hAnsi="ＭＳ 明朝" w:eastAsia="ＭＳ 明朝"/>
          <w:b w:val="1"/>
          <w:sz w:val="32"/>
        </w:rPr>
        <w:t>5</w:t>
      </w:r>
      <w:r>
        <w:rPr>
          <w:rFonts w:hint="eastAsia" w:ascii="ＭＳ 明朝" w:hAnsi="ＭＳ 明朝" w:eastAsia="ＭＳ 明朝"/>
          <w:b w:val="1"/>
          <w:sz w:val="32"/>
        </w:rPr>
        <w:t>年間）</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tbl>
      <w:tblPr>
        <w:tblStyle w:val="17"/>
        <w:tblpPr w:leftFromText="0" w:rightFromText="0" w:topFromText="0" w:bottomFromText="0" w:vertAnchor="text" w:horzAnchor="margin" w:tblpX="239" w:tblpY="15"/>
        <w:tblOverlap w:val="never"/>
        <w:tblW w:w="0" w:type="auto"/>
        <w:tblLayout w:type="fixed"/>
        <w:tblLook w:firstRow="1" w:lastRow="0" w:firstColumn="1" w:lastColumn="0" w:noHBand="0" w:noVBand="1" w:val="04A0"/>
      </w:tblPr>
      <w:tblGrid>
        <w:gridCol w:w="630"/>
        <w:gridCol w:w="2520"/>
        <w:gridCol w:w="2730"/>
        <w:gridCol w:w="3150"/>
        <w:gridCol w:w="3840"/>
      </w:tblGrid>
      <w:tr>
        <w:trPr>
          <w:trHeight w:val="360" w:hRule="atLeast"/>
        </w:trPr>
        <w:tc>
          <w:tcPr>
            <w:tcW w:w="630" w:type="dxa"/>
            <w:vMerge w:val="restart"/>
            <w:vAlign w:val="top"/>
          </w:tcPr>
          <w:p>
            <w:pPr>
              <w:pStyle w:val="0"/>
              <w:rPr>
                <w:rFonts w:hint="eastAsia"/>
              </w:rPr>
            </w:pPr>
          </w:p>
        </w:tc>
        <w:tc>
          <w:tcPr>
            <w:tcW w:w="122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同種・類似業務の実績</w:t>
            </w:r>
          </w:p>
        </w:tc>
      </w:tr>
      <w:tr>
        <w:trPr/>
        <w:tc>
          <w:tcPr>
            <w:tcW w:w="630" w:type="dxa"/>
            <w:vMerge w:val="continue"/>
            <w:vAlign w:val="top"/>
          </w:tcPr>
          <w:p>
            <w:pPr>
              <w:pStyle w:val="0"/>
              <w:rPr>
                <w:rFonts w:hint="eastAsia"/>
              </w:rPr>
            </w:pPr>
          </w:p>
        </w:tc>
        <w:tc>
          <w:tcPr>
            <w:tcW w:w="252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業務名</w:t>
            </w:r>
          </w:p>
        </w:tc>
        <w:tc>
          <w:tcPr>
            <w:tcW w:w="273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発注者</w:t>
            </w:r>
          </w:p>
        </w:tc>
        <w:tc>
          <w:tcPr>
            <w:tcW w:w="315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金額</w:t>
            </w:r>
          </w:p>
        </w:tc>
        <w:tc>
          <w:tcPr>
            <w:tcW w:w="3840" w:type="dxa"/>
            <w:vAlign w:val="top"/>
          </w:tcPr>
          <w:p>
            <w:pPr>
              <w:pStyle w:val="0"/>
              <w:jc w:val="center"/>
              <w:rPr>
                <w:rFonts w:hint="eastAsia"/>
                <w:b w:val="1"/>
              </w:rPr>
            </w:pPr>
            <w:r>
              <w:rPr>
                <w:rFonts w:hint="eastAsia" w:ascii="ＭＳ 明朝" w:hAnsi="ＭＳ 明朝" w:eastAsia="ＭＳ 明朝"/>
                <w:b w:val="1"/>
                <w:sz w:val="24"/>
              </w:rPr>
              <w:t>業務内容</w:t>
            </w:r>
          </w:p>
        </w:tc>
      </w:tr>
      <w:tr>
        <w:trPr/>
        <w:tc>
          <w:tcPr>
            <w:tcW w:w="630" w:type="dxa"/>
            <w:shd w:val="clear" w:color="auto" w:fill="FFFFBE"/>
            <w:vAlign w:val="top"/>
          </w:tcPr>
          <w:p>
            <w:pPr>
              <w:pStyle w:val="0"/>
              <w:jc w:val="center"/>
              <w:rPr>
                <w:rFonts w:hint="eastAsia"/>
              </w:rPr>
            </w:pPr>
            <w:r>
              <w:rPr>
                <w:rFonts w:hint="eastAsia"/>
              </w:rPr>
              <w:t>１</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２</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３</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４</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５</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６</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７</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８</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９</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10</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bl>
    <w:p>
      <w:pPr>
        <w:pStyle w:val="0"/>
        <w:jc w:val="left"/>
        <w:rPr>
          <w:rFonts w:hint="eastAsia" w:ascii="ＭＳ 明朝" w:hAnsi="ＭＳ 明朝" w:eastAsia="ＭＳ 明朝"/>
          <w:sz w:val="24"/>
          <w:u w:val="none" w:color="auto"/>
        </w:rPr>
      </w:pPr>
      <w:bookmarkStart w:id="0" w:name="_GoBack"/>
      <w:bookmarkEnd w:id="0"/>
      <w:r>
        <w:rPr>
          <w:rFonts w:hint="eastAsia" w:ascii="ＭＳ 明朝" w:hAnsi="ＭＳ 明朝" w:eastAsia="ＭＳ 明朝"/>
          <w:sz w:val="24"/>
          <w:u w:val="none" w:color="auto"/>
        </w:rPr>
        <w:t>※同種・類似業務での受託実績（受注内容及び受注金額）を評価する。評価対象は平成</w:t>
      </w:r>
      <w:r>
        <w:rPr>
          <w:rFonts w:hint="eastAsia" w:ascii="ＭＳ 明朝" w:hAnsi="ＭＳ 明朝" w:eastAsia="ＭＳ 明朝"/>
          <w:sz w:val="24"/>
          <w:u w:val="none" w:color="auto"/>
        </w:rPr>
        <w:t>30</w:t>
      </w:r>
      <w:r>
        <w:rPr>
          <w:rFonts w:hint="eastAsia" w:ascii="ＭＳ 明朝" w:hAnsi="ＭＳ 明朝" w:eastAsia="ＭＳ 明朝"/>
          <w:sz w:val="24"/>
          <w:u w:val="none" w:color="auto"/>
        </w:rPr>
        <w:t>年度～令和</w:t>
      </w:r>
      <w:r>
        <w:rPr>
          <w:rFonts w:hint="eastAsia" w:ascii="ＭＳ 明朝" w:hAnsi="ＭＳ 明朝" w:eastAsia="ＭＳ 明朝"/>
          <w:sz w:val="24"/>
          <w:u w:val="none" w:color="auto"/>
        </w:rPr>
        <w:t>4</w:t>
      </w:r>
      <w:r>
        <w:rPr>
          <w:rFonts w:hint="eastAsia" w:ascii="ＭＳ 明朝" w:hAnsi="ＭＳ 明朝" w:eastAsia="ＭＳ 明朝"/>
          <w:sz w:val="24"/>
          <w:u w:val="none" w:color="auto"/>
        </w:rPr>
        <w:t>年度中の受託実績とする。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※「同種業務」とは、自治体の教育機関における校務システムサービスを含む基盤サービスの構築・運用管理業務を指す。</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※「同規模業務」とは、児童生徒数が</w:t>
      </w:r>
      <w:r>
        <w:rPr>
          <w:rFonts w:hint="eastAsia" w:ascii="ＭＳ 明朝" w:hAnsi="ＭＳ 明朝" w:eastAsia="ＭＳ 明朝"/>
          <w:sz w:val="24"/>
          <w:u w:val="none" w:color="auto"/>
        </w:rPr>
        <w:t>1</w:t>
      </w:r>
      <w:r>
        <w:rPr>
          <w:rFonts w:hint="eastAsia" w:ascii="ＭＳ 明朝" w:hAnsi="ＭＳ 明朝" w:eastAsia="ＭＳ 明朝"/>
          <w:sz w:val="24"/>
          <w:u w:val="none" w:color="auto"/>
        </w:rPr>
        <w:t>万</w:t>
      </w:r>
      <w:r>
        <w:rPr>
          <w:rFonts w:hint="eastAsia" w:ascii="ＭＳ 明朝" w:hAnsi="ＭＳ 明朝" w:eastAsia="ＭＳ 明朝"/>
          <w:sz w:val="24"/>
          <w:u w:val="none" w:color="auto"/>
        </w:rPr>
        <w:t>2</w:t>
      </w:r>
      <w:r>
        <w:rPr>
          <w:rFonts w:hint="eastAsia" w:ascii="ＭＳ 明朝" w:hAnsi="ＭＳ 明朝" w:eastAsia="ＭＳ 明朝"/>
          <w:sz w:val="24"/>
          <w:u w:val="none" w:color="auto"/>
        </w:rPr>
        <w:t>千人以上で公立学校が</w:t>
      </w:r>
      <w:r>
        <w:rPr>
          <w:rFonts w:hint="eastAsia" w:ascii="ＭＳ 明朝" w:hAnsi="ＭＳ 明朝" w:eastAsia="ＭＳ 明朝"/>
          <w:sz w:val="24"/>
          <w:u w:val="none" w:color="auto"/>
        </w:rPr>
        <w:t>20</w:t>
      </w:r>
      <w:r>
        <w:rPr>
          <w:rFonts w:hint="eastAsia" w:ascii="ＭＳ 明朝" w:hAnsi="ＭＳ 明朝" w:eastAsia="ＭＳ 明朝"/>
          <w:sz w:val="24"/>
          <w:u w:val="none" w:color="auto"/>
        </w:rPr>
        <w:t>校以上の自治体とする。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※「類似業務」とは、教育機関を問わず自治体におけるクラウドもしくはオンプレミスによる基盤サービスの構築・運用管</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理業務とする。</w:t>
      </w:r>
    </w:p>
    <w:sectPr>
      <w:pgSz w:w="16838" w:h="11906" w:orient="landscape"/>
      <w:pgMar w:top="1701" w:right="1985"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岩永　泰典(手動)</cp:lastModifiedBy>
  <dcterms:created xsi:type="dcterms:W3CDTF">2020-03-04T05:54:00Z</dcterms:created>
  <dcterms:modified xsi:type="dcterms:W3CDTF">2023-05-22T06:32:25Z</dcterms:modified>
  <cp:revision>0</cp:revision>
</cp:coreProperties>
</file>