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 w:themeColor="text1"/>
          <w:sz w:val="24"/>
        </w:rPr>
        <w:t>8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令和３</w:t>
            </w: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bookmarkStart w:id="0" w:name="_GoBack"/>
      <w:bookmarkEnd w:id="0"/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420" w:leftChars="200" w:firstLine="0" w:firstLineChars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※令和３年４月１日から令和４年３月３１</w:t>
      </w:r>
      <w:r>
        <w:rPr>
          <w:rFonts w:hint="eastAsia" w:ascii="ＭＳ 明朝" w:hAnsi="ＭＳ 明朝" w:eastAsia="ＭＳ 明朝"/>
          <w:sz w:val="24"/>
          <w:u w:val="none" w:color="auto"/>
        </w:rPr>
        <w:t>日事業年度の有価証券報告書のキャッシュフロー計算書の数値を用いる　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※キャッシュフロー計算書が未作成の場合は、財務諸表（貸借対照表、損益計算書等）に基づく算出を可とする。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岩永　泰典(手動)</cp:lastModifiedBy>
  <dcterms:created xsi:type="dcterms:W3CDTF">2020-03-04T05:54:00Z</dcterms:created>
  <dcterms:modified xsi:type="dcterms:W3CDTF">2023-05-22T06:26:00Z</dcterms:modified>
  <cp:revision>1</cp:revision>
</cp:coreProperties>
</file>