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※「同種業務」とは、自治体の教育機関における公立小中学校対象の学力・体力・生活状況総合調査とする。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</w:t>
      </w:r>
      <w:r>
        <w:rPr>
          <w:rFonts w:hint="eastAsia" w:ascii="ＭＳ 明朝" w:hAnsi="ＭＳ 明朝" w:eastAsia="ＭＳ 明朝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z w:val="24"/>
          <w:u w:val="none" w:color="auto"/>
        </w:rPr>
        <w:t>校以上及び児童生徒数が１万１千人の自治体とする。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※「類似業務」とは、自治体に限らず小中学校対象対象の学力・体力・生活状況総合調査のこととする。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2025-01-23T05:19:00Z</dcterms:modified>
  <cp:revision>0</cp:revision>
</cp:coreProperties>
</file>