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様式９</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９</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10</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※同種・類似業務での受託実績（受注内容及び受注金額）を評価する。評価対象は平成</w:t>
      </w:r>
      <w:r>
        <w:rPr>
          <w:rFonts w:hint="eastAsia" w:ascii="ＭＳ 明朝" w:hAnsi="ＭＳ 明朝" w:eastAsia="ＭＳ 明朝"/>
          <w:sz w:val="24"/>
          <w:u w:val="none" w:color="auto"/>
        </w:rPr>
        <w:t>31</w:t>
      </w:r>
      <w:r>
        <w:rPr>
          <w:rFonts w:hint="eastAsia" w:ascii="ＭＳ 明朝" w:hAnsi="ＭＳ 明朝" w:eastAsia="ＭＳ 明朝"/>
          <w:sz w:val="24"/>
          <w:u w:val="none" w:color="auto"/>
        </w:rPr>
        <w:t>年（令和元）年度～令和</w:t>
      </w:r>
      <w:r>
        <w:rPr>
          <w:rFonts w:hint="eastAsia" w:ascii="ＭＳ 明朝" w:hAnsi="ＭＳ 明朝" w:eastAsia="ＭＳ 明朝"/>
          <w:sz w:val="24"/>
          <w:u w:val="none" w:color="auto"/>
        </w:rPr>
        <w:t>5</w:t>
      </w:r>
      <w:r>
        <w:rPr>
          <w:rFonts w:hint="eastAsia" w:ascii="ＭＳ 明朝" w:hAnsi="ＭＳ 明朝" w:eastAsia="ＭＳ 明朝"/>
          <w:sz w:val="24"/>
          <w:u w:val="none" w:color="auto"/>
        </w:rPr>
        <w:t>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※「同種業務」とは、国または地方公共団体が設置する自転車等駐輪場の指定管理業務とする。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※「同規模業務」とは、上記「同種業務」で今回公募する指定管理業務と同じ維持運営規模とする。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※「類似業務」とは、国、地方公共団体または民間事業者設置する駐輪場の管理運営（委託）業務とする。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びとう</cp:lastModifiedBy>
  <dcterms:created xsi:type="dcterms:W3CDTF">2020-03-04T05:54:00Z</dcterms:created>
  <dcterms:modified xsi:type="dcterms:W3CDTF">2023-09-26T12:37:19Z</dcterms:modified>
  <cp:revision>0</cp:revision>
</cp:coreProperties>
</file>