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【提案書】苦情処理体制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201" w:tblpY="253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1260"/>
        <w:gridCol w:w="1260"/>
        <w:gridCol w:w="5982"/>
      </w:tblGrid>
      <w:tr>
        <w:trPr>
          <w:trHeight w:val="63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評価項目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苦情処理要領等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苦情処理要領（マニュアル等）の制定時期</w:t>
            </w:r>
          </w:p>
        </w:tc>
      </w:tr>
      <w:tr>
        <w:trPr>
          <w:trHeight w:val="392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苦情処理体制の整備状況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5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tbl>
      <w:tblPr>
        <w:tblStyle w:val="17"/>
        <w:tblpPr w:leftFromText="142" w:rightFromText="142" w:topFromText="0" w:bottomFromText="0" w:vertAnchor="text" w:horzAnchor="text" w:tblpX="207" w:tblpY="1557"/>
        <w:tblW w:w="0" w:type="auto"/>
        <w:shd w:val="clear" w:color="auto" w:fill="FFE69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308"/>
        <w:gridCol w:w="8502"/>
      </w:tblGrid>
      <w:tr>
        <w:trPr>
          <w:trHeight w:val="1728" w:hRule="atLeast"/>
        </w:trPr>
        <w:tc>
          <w:tcPr>
            <w:tcW w:w="4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苦情処理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1"/>
                <w:sz w:val="24"/>
              </w:rPr>
              <w:t>要領（マニュアル等）の内容</w:t>
            </w:r>
          </w:p>
        </w:tc>
        <w:tc>
          <w:tcPr>
            <w:tcW w:w="8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※内容については、役割分担、報告・指示及び結果報告系統、伝達方法を必ず記入すること。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※｢別紙のとおり｣とし、苦情処理要領（写し）の提出を可とする。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187</TotalTime>
  <Pages>1</Pages>
  <Words>0</Words>
  <Characters>153</Characters>
  <Application>JUST Note</Application>
  <Lines>16</Lines>
  <Paragraphs>12</Paragraphs>
  <Company>箕面市役所</Company>
  <CharactersWithSpaces>191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2026-06-08T05:43:48Z</dcterms:modified>
  <cp:revision>0</cp:revision>
</cp:coreProperties>
</file>