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eastAsia="ＭＳ 明朝"/>
          <w:b w:val="1"/>
          <w:color w:val="000000" w:themeColor="text1"/>
          <w:sz w:val="24"/>
        </w:rPr>
      </w:pPr>
      <w:r>
        <w:rPr>
          <w:rFonts w:hint="eastAsia" w:ascii="ＭＳ 明朝" w:hAnsi="ＭＳ 明朝" w:eastAsia="ＭＳ 明朝"/>
          <w:b w:val="1"/>
          <w:color w:val="000000" w:themeColor="text1"/>
          <w:sz w:val="24"/>
        </w:rPr>
        <w:t>様式７－６</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【提案書】有利子負債月商比率の状況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tbl>
      <w:tblPr>
        <w:tblStyle w:val="17"/>
        <w:tblpPr w:leftFromText="142" w:rightFromText="142" w:topFromText="0" w:bottomFromText="0" w:vertAnchor="text" w:horzAnchor="text" w:tblpX="1205" w:tblpY="193"/>
        <w:tblW w:w="0" w:type="auto"/>
        <w:tblLayout w:type="fixed"/>
        <w:tblLook w:firstRow="1" w:lastRow="0" w:firstColumn="1" w:lastColumn="0" w:noHBand="0" w:noVBand="1" w:val="04A0"/>
      </w:tblPr>
      <w:tblGrid>
        <w:gridCol w:w="983"/>
        <w:gridCol w:w="2587"/>
        <w:gridCol w:w="6090"/>
        <w:gridCol w:w="792"/>
      </w:tblGrid>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A</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有利子負債</w:t>
            </w:r>
          </w:p>
        </w:tc>
        <w:tc>
          <w:tcPr>
            <w:tcW w:w="6090" w:type="dxa"/>
            <w:tcBorders>
              <w:top w:val="nil"/>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nil"/>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B</w:t>
            </w:r>
          </w:p>
        </w:tc>
        <w:tc>
          <w:tcPr>
            <w:tcW w:w="2587" w:type="dxa"/>
            <w:tcBorders>
              <w:top w:val="nil"/>
              <w:left w:val="nil"/>
              <w:bottom w:val="nil"/>
              <w:right w:val="nil"/>
              <w:tl2br w:val="nil"/>
              <w:tr2bl w:val="nil"/>
            </w:tcBorders>
            <w:vAlign w:val="top"/>
          </w:tcPr>
          <w:p>
            <w:pPr>
              <w:pStyle w:val="0"/>
              <w:rPr>
                <w:rFonts w:hint="eastAsia"/>
                <w:sz w:val="24"/>
              </w:rPr>
            </w:pPr>
            <w:r>
              <w:rPr>
                <w:rFonts w:hint="eastAsia"/>
                <w:sz w:val="24"/>
              </w:rPr>
              <w:t>１月あたりの売上高</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円</w:t>
            </w:r>
          </w:p>
        </w:tc>
      </w:tr>
      <w:tr>
        <w:trPr>
          <w:trHeight w:val="546" w:hRule="atLeast"/>
        </w:trPr>
        <w:tc>
          <w:tcPr>
            <w:tcW w:w="983" w:type="dxa"/>
            <w:tcBorders>
              <w:top w:val="nil"/>
              <w:left w:val="nil"/>
              <w:bottom w:val="nil"/>
              <w:right w:val="nil"/>
              <w:tl2br w:val="nil"/>
              <w:tr2bl w:val="nil"/>
            </w:tcBorders>
            <w:vAlign w:val="top"/>
          </w:tcPr>
          <w:p>
            <w:pPr>
              <w:pStyle w:val="0"/>
              <w:rPr>
                <w:rFonts w:hint="eastAsia"/>
                <w:sz w:val="24"/>
              </w:rPr>
            </w:pPr>
            <w:r>
              <w:rPr>
                <w:rFonts w:hint="eastAsia"/>
                <w:sz w:val="24"/>
              </w:rPr>
              <w:t>C</w:t>
            </w:r>
          </w:p>
        </w:tc>
        <w:tc>
          <w:tcPr>
            <w:tcW w:w="2587" w:type="dxa"/>
            <w:tcBorders>
              <w:top w:val="nil"/>
              <w:left w:val="nil"/>
              <w:bottom w:val="nil"/>
              <w:right w:val="nil"/>
              <w:tl2br w:val="nil"/>
              <w:tr2bl w:val="nil"/>
            </w:tcBorders>
            <w:vAlign w:val="top"/>
          </w:tcPr>
          <w:p>
            <w:pPr>
              <w:pStyle w:val="0"/>
              <w:spacing w:line="400" w:lineRule="exact"/>
              <w:rPr>
                <w:rFonts w:hint="eastAsia"/>
                <w:sz w:val="24"/>
              </w:rPr>
            </w:pPr>
            <w:r>
              <w:rPr>
                <w:rFonts w:hint="eastAsia"/>
                <w:sz w:val="24"/>
              </w:rPr>
              <w:t>有利子負債月商比率</w:t>
            </w:r>
          </w:p>
          <w:p>
            <w:pPr>
              <w:pStyle w:val="0"/>
              <w:spacing w:line="400" w:lineRule="exact"/>
              <w:rPr>
                <w:rFonts w:hint="eastAsia"/>
                <w:sz w:val="24"/>
              </w:rPr>
            </w:pPr>
            <w:r>
              <w:rPr>
                <w:rFonts w:hint="eastAsia"/>
                <w:sz w:val="24"/>
              </w:rPr>
              <w:t>A</w:t>
            </w:r>
            <w:r>
              <w:rPr>
                <w:rFonts w:hint="eastAsia"/>
                <w:sz w:val="24"/>
              </w:rPr>
              <w:t>÷</w:t>
            </w:r>
            <w:r>
              <w:rPr>
                <w:rFonts w:hint="eastAsia"/>
                <w:sz w:val="24"/>
              </w:rPr>
              <w:t>B</w:t>
            </w:r>
          </w:p>
        </w:tc>
        <w:tc>
          <w:tcPr>
            <w:tcW w:w="6090" w:type="dxa"/>
            <w:tcBorders>
              <w:top w:val="single" w:color="auto" w:sz="4" w:space="0"/>
              <w:left w:val="nil"/>
              <w:bottom w:val="single" w:color="auto" w:sz="4" w:space="0"/>
              <w:right w:val="nil"/>
              <w:tl2br w:val="nil"/>
              <w:tr2bl w:val="nil"/>
            </w:tcBorders>
            <w:shd w:val="clear" w:color="auto" w:fill="FFFFBE"/>
            <w:vAlign w:val="top"/>
          </w:tcPr>
          <w:p>
            <w:pPr>
              <w:pStyle w:val="0"/>
              <w:rPr>
                <w:rFonts w:hint="eastAsia"/>
                <w:sz w:val="24"/>
                <w:highlight w:val="none"/>
              </w:rPr>
            </w:pPr>
          </w:p>
        </w:tc>
        <w:tc>
          <w:tcPr>
            <w:tcW w:w="792" w:type="dxa"/>
            <w:tcBorders>
              <w:top w:val="single" w:color="auto" w:sz="4" w:space="0"/>
              <w:left w:val="nil"/>
              <w:bottom w:val="single" w:color="auto" w:sz="4" w:space="0"/>
              <w:right w:val="nil"/>
              <w:tl2br w:val="nil"/>
              <w:tr2bl w:val="nil"/>
            </w:tcBorders>
            <w:vAlign w:val="top"/>
          </w:tcPr>
          <w:p>
            <w:pPr>
              <w:pStyle w:val="0"/>
              <w:rPr>
                <w:rFonts w:hint="eastAsia"/>
                <w:sz w:val="24"/>
              </w:rPr>
            </w:pPr>
            <w:r>
              <w:rPr>
                <w:rFonts w:hint="eastAsia"/>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ind w:firstLine="4800" w:firstLineChars="200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※小数点以下２桁目を四捨五入のこと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※令和６年４月１日から令和７年３月３１日までの事業年度の有価証券報告書の貸借対照表の数値を用いること。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※決算月が３月以外の場合は、直近の確定した貸借対照表の数値を用いること。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p>
      <w:pPr>
        <w:pStyle w:val="0"/>
        <w:ind w:leftChars="0" w:hanging="209" w:hangingChars="87"/>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※「有利子負債」は、短期借入金、コマーシャルペーパー、長期借入金、社債、転換社債、新株引受付社債、受取手形割引高の合計。</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※「１月あたりの売上高」は売上高÷１２ヶ月。</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none" w:color="auto"/>
        </w:rPr>
        <w:t>NPO</w:t>
      </w:r>
      <w:r>
        <w:rPr>
          <w:rFonts w:hint="eastAsia" w:ascii="ＭＳ 明朝" w:hAnsi="ＭＳ 明朝" w:eastAsia="ＭＳ 明朝"/>
          <w:sz w:val="24"/>
          <w:u w:val="none" w:color="auto"/>
        </w:rPr>
        <w:t>法人等の公益法人については、「売上高」を「事業収益」に読み替えること。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※共同事業体の場合、代表法人の数値を評価する。</w:t>
      </w:r>
      <w:bookmarkStart w:id="0" w:name="_GoBack"/>
      <w:bookmarkEnd w:id="0"/>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6</Words>
  <Characters>386</Characters>
  <Application>JUST Note</Application>
  <Lines>35</Lines>
  <Paragraphs>22</Paragraphs>
  <Company>箕面市役所</Company>
  <CharactersWithSpaces>420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玄覚　星菜(手動)</cp:lastModifiedBy>
  <dcterms:created xsi:type="dcterms:W3CDTF">2020-03-04T05:54:00Z</dcterms:created>
  <dcterms:modified xsi:type="dcterms:W3CDTF">2025-07-29T04:27:03Z</dcterms:modified>
  <cp:revision>2</cp:revision>
</cp:coreProperties>
</file>