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９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color w:val="auto"/>
          <w:sz w:val="32"/>
        </w:rPr>
      </w:pPr>
      <w:r>
        <w:rPr>
          <w:rFonts w:hint="eastAsia" w:ascii="ＭＳ 明朝" w:hAnsi="ＭＳ 明朝" w:eastAsia="ＭＳ 明朝"/>
          <w:b w:val="1"/>
          <w:color w:val="auto"/>
          <w:sz w:val="32"/>
        </w:rPr>
        <w:t>【提案書】売上高経常利益率の状況</w:t>
      </w:r>
    </w:p>
    <w:p>
      <w:pPr>
        <w:pStyle w:val="0"/>
        <w:jc w:val="both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  <w:sz w:val="24"/>
          <w:u w:val="single" w:color="auto"/>
        </w:rPr>
      </w:pPr>
      <w:r>
        <w:rPr>
          <w:rFonts w:hint="eastAsia" w:ascii="ＭＳ 明朝" w:hAnsi="ＭＳ 明朝" w:eastAsia="ＭＳ 明朝"/>
          <w:color w:val="auto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color w:val="auto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color w:val="auto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tbl>
      <w:tblPr>
        <w:tblStyle w:val="17"/>
        <w:tblpPr w:leftFromText="142" w:rightFromText="142" w:topFromText="0" w:bottomFromText="0" w:vertAnchor="text" w:horzAnchor="text" w:tblpX="1094" w:tblpY="345"/>
        <w:tblW w:w="0" w:type="auto"/>
        <w:tblLayout w:type="fixed"/>
        <w:tblLook w:firstRow="1" w:lastRow="0" w:firstColumn="1" w:lastColumn="0" w:noHBand="0" w:noVBand="1" w:val="04A0"/>
      </w:tblPr>
      <w:tblGrid>
        <w:gridCol w:w="983"/>
        <w:gridCol w:w="2587"/>
        <w:gridCol w:w="6090"/>
        <w:gridCol w:w="792"/>
      </w:tblGrid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A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経常利益</w:t>
            </w:r>
          </w:p>
        </w:tc>
        <w:tc>
          <w:tcPr>
            <w:tcW w:w="609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円</w:t>
            </w:r>
          </w:p>
        </w:tc>
      </w:tr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B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売上高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円</w:t>
            </w:r>
          </w:p>
        </w:tc>
      </w:tr>
      <w:tr>
        <w:trPr>
          <w:trHeight w:val="546" w:hRule="atLeast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C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400" w:lineRule="exac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売上高経常利益率</w:t>
            </w:r>
          </w:p>
          <w:p>
            <w:pPr>
              <w:pStyle w:val="0"/>
              <w:spacing w:line="400" w:lineRule="exac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A</w:t>
            </w:r>
            <w:r>
              <w:rPr>
                <w:rFonts w:hint="eastAsia"/>
                <w:color w:val="auto"/>
                <w:sz w:val="24"/>
              </w:rPr>
              <w:t>÷</w:t>
            </w:r>
            <w:r>
              <w:rPr>
                <w:rFonts w:hint="eastAsia"/>
                <w:color w:val="auto"/>
                <w:sz w:val="24"/>
              </w:rPr>
              <w:t>B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％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ind w:firstLine="4800" w:firstLineChars="200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※小数点以下２桁目を四捨五入のこと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※</w:t>
      </w:r>
      <w:r>
        <w:rPr>
          <w:rFonts w:hint="eastAsia" w:ascii="ＭＳ 明朝" w:hAnsi="ＭＳ 明朝" w:eastAsia="ＭＳ 明朝"/>
          <w:color w:val="auto"/>
          <w:sz w:val="24"/>
          <w:highlight w:val="none"/>
          <w:u w:val="none" w:color="auto"/>
        </w:rPr>
        <w:t>令和７年４月１日から令和８</w:t>
      </w:r>
      <w:bookmarkStart w:id="0" w:name="_GoBack"/>
      <w:bookmarkEnd w:id="0"/>
      <w:r>
        <w:rPr>
          <w:rFonts w:hint="eastAsia" w:ascii="ＭＳ 明朝" w:hAnsi="ＭＳ 明朝" w:eastAsia="ＭＳ 明朝"/>
          <w:color w:val="auto"/>
          <w:sz w:val="24"/>
          <w:highlight w:val="none"/>
          <w:u w:val="none" w:color="auto"/>
        </w:rPr>
        <w:t>年３月３１日</w:t>
      </w:r>
      <w:r>
        <w:rPr>
          <w:rFonts w:hint="eastAsia" w:ascii="ＭＳ 明朝" w:hAnsi="ＭＳ 明朝" w:eastAsia="ＭＳ 明朝"/>
          <w:sz w:val="24"/>
          <w:u w:val="none" w:color="auto"/>
        </w:rPr>
        <w:t>事業年度の有価証券報告書の貸借対照表の数値を用いること。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※決算月が３月以外の場合は、直近の確定した貸借対照表の数値を用いること。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※連結親会社の場合は、連結財務諸表、連結子会社の場合は、単体の財務諸表の数値を用いること。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※数値を引用した書類を添付のうえ、引用数値をマーカーで明示すること。</w:t>
      </w:r>
    </w:p>
    <w:p>
      <w:pPr>
        <w:pStyle w:val="0"/>
        <w:ind w:leftChars="0" w:hanging="209" w:hangingChars="87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</w:t>
      </w:r>
      <w:r>
        <w:rPr>
          <w:rFonts w:hint="eastAsia" w:ascii="ＭＳ 明朝" w:hAnsi="ＭＳ 明朝" w:eastAsia="ＭＳ 明朝"/>
          <w:sz w:val="24"/>
          <w:u w:val="none" w:color="auto"/>
        </w:rPr>
        <w:t>NPO</w:t>
      </w:r>
      <w:r>
        <w:rPr>
          <w:rFonts w:hint="eastAsia" w:ascii="ＭＳ 明朝" w:hAnsi="ＭＳ 明朝" w:eastAsia="ＭＳ 明朝"/>
          <w:sz w:val="24"/>
          <w:u w:val="none" w:color="auto"/>
        </w:rPr>
        <w:t>法人等の公益法人については、「売上高」を「事業収益」に、「経常利益」を「評価損益等調整前当期経常増減額」に読み替えること。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58</TotalTime>
  <Pages>1</Pages>
  <Words>6</Words>
  <Characters>293</Characters>
  <Application>JUST Note</Application>
  <Lines>35</Lines>
  <Paragraphs>19</Paragraphs>
  <Company>箕面市役所</Company>
  <CharactersWithSpaces>327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2020-03-04T05:54:00Z</dcterms:created>
  <dcterms:modified xsi:type="dcterms:W3CDTF">2026-05-08T12:43:10Z</dcterms:modified>
  <cp:revision>1</cp:revision>
</cp:coreProperties>
</file>