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3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営業活</w:t>
            </w:r>
            <w:r>
              <w:rPr>
                <w:rFonts w:hint="eastAsia"/>
                <w:sz w:val="24"/>
              </w:rPr>
              <w:t>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highlight w:val="none"/>
          <w:u w:val="none" w:color="auto"/>
        </w:rPr>
        <w:t>事業年度の</w:t>
      </w:r>
      <w:r>
        <w:rPr>
          <w:rFonts w:hint="eastAsia" w:ascii="ＭＳ 明朝" w:hAnsi="ＭＳ 明朝" w:eastAsia="ＭＳ 明朝"/>
          <w:sz w:val="24"/>
          <w:u w:val="none" w:color="auto"/>
        </w:rPr>
        <w:t>有価証券報告書のキャッシュフロー計算書の数値を用いるこ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2022-04-14T01:22:49Z</dcterms:modified>
  <cp:revision>2</cp:revision>
</cp:coreProperties>
</file>