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16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【提案書】環境への取組状況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360"/>
        <w:gridCol w:w="840"/>
        <w:gridCol w:w="840"/>
        <w:gridCol w:w="6855"/>
      </w:tblGrid>
      <w:tr>
        <w:trPr>
          <w:trHeight w:val="90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認証名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認証の有無</w:t>
            </w:r>
          </w:p>
        </w:tc>
        <w:tc>
          <w:tcPr>
            <w:tcW w:w="6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ISO14001</w:t>
            </w:r>
            <w:r>
              <w:rPr>
                <w:rFonts w:hint="eastAsia" w:ascii="ＭＳ 明朝" w:hAnsi="ＭＳ 明朝" w:eastAsia="ＭＳ 明朝"/>
                <w:b w:val="1"/>
              </w:rPr>
              <w:t>（環境マネジメントシステム）等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その他第三者認証制度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  <w:bookmarkStart w:id="0" w:name="_GoBack"/>
            <w:bookmarkEnd w:id="0"/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4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※登録証の写しを提出すること。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※入札告示日までの認証取得を対象とする。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1</Pages>
  <Words>0</Words>
  <Characters>148</Characters>
  <Application>JUST Note</Application>
  <Lines>10</Lines>
  <Paragraphs>7</Paragraphs>
  <Company>箕面市役所</Company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2022-03-04T07:00:58Z</dcterms:modified>
  <cp:revision>1</cp:revision>
</cp:coreProperties>
</file>