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50560" cy="3873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560" cy="387350"/>
                          <a:chOff x="1443" y="10850"/>
                          <a:chExt cx="9028" cy="61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443" y="10850"/>
                            <a:ext cx="9028" cy="4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1568" y="10898"/>
                            <a:ext cx="7429" cy="5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8"/>
                                </w:rPr>
                                <w:t>第５章　　計画の進行管理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0.15pt;mso-position-vertical-relative:text;mso-position-horizontal-relative:text;position:absolute;height:30.5pt;width:452.8pt;margin-left:0pt;z-index:2;" coordsize="9028,610" coordorigin="1443,10850" o:spid="_x0000_s1026" o:allowincell="t" o:allowoverlap="t">
                <v:rect id="オブジェクト 0" style="height:494;width:9028;top:10850;left:1443;position:absolute;" o:spid="_x0000_s1027" filled="t" fillcolor="#000000 [3213]" stroked="f" strokecolor="#42709c" strokeweight="1pt" o:spt="1">
                  <v:fill/>
                  <v:stroke linestyle="single" miterlimit="8" endcap="flat" dashstyle="solid"/>
                  <v:textbox style="layout-flow:horizontal;"/>
                  <v:imagedata o:title=""/>
                  <w10:wrap type="none" anchorx="text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62;width:7429;top:10898;left:1568;position:absolute;" o:spid="_x0000_s102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8"/>
                          </w:rPr>
                          <w:t>第５章　　計画の進行管理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rPr>
          <w:rFonts w:hint="eastAsia" w:ascii="AR Pゴシック体M" w:hAnsi="AR Pゴシック体M" w:eastAsia="AR Pゴシック体M"/>
          <w:b w:val="1"/>
          <w:sz w:val="28"/>
        </w:rPr>
      </w:pPr>
      <w:r>
        <w:rPr>
          <w:rFonts w:hint="eastAsia" w:ascii="AR Pゴシック体M" w:hAnsi="AR Pゴシック体M" w:eastAsia="AR Pゴシック体M"/>
          <w:b w:val="1"/>
          <w:sz w:val="28"/>
        </w:rPr>
        <w:t>５－１　推進体系</w:t>
      </w:r>
    </w:p>
    <w:p>
      <w:pPr>
        <w:pStyle w:val="0"/>
        <w:rPr>
          <w:rFonts w:hint="eastAsia" w:ascii="AR Pゴシック体M" w:hAnsi="AR Pゴシック体M" w:eastAsia="AR Pゴシック体M"/>
          <w:b w:val="1"/>
          <w:sz w:val="28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/>
          <w:sz w:val="24"/>
        </w:rPr>
        <w:t>自殺に対する取組みは、その要因が多様であるため下図のように、三階層の自殺対策が連動する必要があります。本市でも庁内だけでなく、地域福祉や教育関係団体等、労働関係や医療機関等、警察・消防など様々な機関と連携協力し、様々な角度から自殺対策の推進を図ります。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64135</wp:posOffset>
                </wp:positionV>
                <wp:extent cx="3403600" cy="32829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34036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図８：三階層自殺対策連動モデル（ＴＩＳモデル）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05pt;mso-position-vertical-relative:text;mso-position-horizontal-relative:text;position:absolute;height:25.85pt;mso-wrap-distance-top:0pt;width:268pt;mso-wrap-distance-left:16pt;margin-left:-0.25pt;z-index:5;" o:spid="_x0000_s102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図８：三階層自殺対策連動モデル（ＴＩＳモデル）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1" locked="0" layoutInCell="1" hidden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104140</wp:posOffset>
                </wp:positionV>
                <wp:extent cx="5907405" cy="4102735"/>
                <wp:effectExtent l="635" t="635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907405" cy="4102735"/>
                        </a:xfrm>
                        <a:prstGeom prst="roundRect">
                          <a:avLst>
                            <a:gd name="adj" fmla="val 7766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8000">
                              <a:schemeClr val="bg1"/>
                            </a:gs>
                            <a:gs pos="34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61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8.19pt;mso-position-vertical-relative:text;mso-position-horizontal-relative:text;position:absolute;height:323.05pt;mso-wrap-distance-top:0pt;width:465.15pt;mso-wrap-distance-left:16pt;margin-left:-7.65pt;z-index:-503316457;" o:spid="_x0000_s1030" o:allowincell="t" o:allowoverlap="t" filled="t" fillcolor="#c6e0b4 [1305]" stroked="f" strokecolor="#42709c" strokeweight="1pt" o:spt="2" arcsize="5088f">
                <v:fill type="gradient" color2="#c6e0b4 [1305]" colors="0 #c6e0b4;11796f #ffffff;22282f #c6e0b4;39976f #c6e0b4;53084f #ffffff;65536f #c6e0b4" focus="100%" rotate="t"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245110</wp:posOffset>
                </wp:positionV>
                <wp:extent cx="4613275" cy="48006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4613275" cy="4800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社会制度、地域連携、対人支援の３つのレベルの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</w:rPr>
                              <w:t>有機的連動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による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総合的な自殺対策の推進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9.3pt;mso-position-vertical-relative:text;mso-position-horizontal-relative:text;position:absolute;height:37.79pt;mso-wrap-distance-top:0pt;width:363.25pt;mso-wrap-distance-left:16pt;margin-left:39.5pt;z-index:24;" o:spid="_x0000_s103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社会制度、地域連携、対人支援の３つのレベルの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</w:rPr>
                        <w:t>有機的連動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による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総合的な自殺対策の推進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71120</wp:posOffset>
                </wp:positionV>
                <wp:extent cx="1885950" cy="1244600"/>
                <wp:effectExtent l="1270" t="635" r="3048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885950" cy="124460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オブジェクト 0" style="margin-top:5.6pt;mso-position-vertical-relative:text;mso-position-horizontal-relative:text;position:absolute;height:98pt;width:148.5pt;margin-left:107.2pt;z-index:8;" o:spid="_x0000_s1032" o:allowincell="t" o:allowoverlap="t" filled="t" fillcolor="#dae2f3 [664]" stroked="t" strokecolor="#b5c7e8 [1304]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80645</wp:posOffset>
                </wp:positionV>
                <wp:extent cx="4625340" cy="324612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4625340" cy="32461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オブジェクト 0" style="margin-top:6.35pt;mso-position-vertical-relative:text;mso-position-horizontal-relative:text;position:absolute;height:255.6pt;width:364.2pt;margin-left:-1.7pt;z-index:6;" o:spid="_x0000_s1033" o:allowincell="t" o:allowoverlap="t" filled="t" fillcolor="#305496 [2408]" stroked="t" strokecolor="#305496 [2408]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71120</wp:posOffset>
                </wp:positionV>
                <wp:extent cx="3364865" cy="23399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3364865" cy="2339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オブジェクト 0" style="margin-top:5.6pt;mso-position-vertical-relative:text;mso-position-horizontal-relative:text;position:absolute;height:184.25pt;width:264.95pt;margin-left:49.3pt;z-index:7;" o:spid="_x0000_s1034" o:allowincell="t" o:allowoverlap="t" filled="t" fillcolor="#5b9bd5 [3204]" stroked="t" strokecolor="#42709c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55880</wp:posOffset>
                </wp:positionV>
                <wp:extent cx="1092200" cy="24066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1092200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spacing w:val="-4"/>
                                <w:sz w:val="20"/>
                              </w:rPr>
                              <w:t>対人支援のレベル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.4000000000000004pt;mso-position-vertical-relative:text;mso-position-horizontal-relative:text;v-text-anchor:middle;position:absolute;height:18.95pt;width:86pt;margin-left:363.75pt;z-index:21;" o:spid="_x0000_s1035" o:allowincell="t" o:allowoverlap="t" filled="t" fillcolor="#ffffff [3212]" stroked="t" strokecolor="#8ea9db [1944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spacing w:val="-4"/>
                          <w:sz w:val="20"/>
                        </w:rPr>
                        <w:t>対人支援のレベル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71120</wp:posOffset>
                </wp:positionV>
                <wp:extent cx="853440" cy="2682240"/>
                <wp:effectExtent l="1270" t="635" r="30480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2682240"/>
                          <a:chOff x="7499" y="6413"/>
                          <a:chExt cx="1344" cy="4390"/>
                        </a:xfrm>
                      </wpg:grpSpPr>
                      <wps:wsp>
                        <wps:cNvPr id="1037" name="オブジェクト 0"/>
                        <wps:cNvSpPr/>
                        <wps:spPr>
                          <a:xfrm rot="16200000">
                            <a:off x="6123" y="7789"/>
                            <a:ext cx="4096" cy="1344"/>
                          </a:xfrm>
                          <a:prstGeom prst="stripedRightArrow">
                            <a:avLst>
                              <a:gd name="adj1" fmla="val 32972"/>
                              <a:gd name="adj2" fmla="val 5134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8" name="オブジェクト 0"/>
                        <wps:cNvSpPr txBox="1"/>
                        <wps:spPr>
                          <a:xfrm>
                            <a:off x="7528" y="7398"/>
                            <a:ext cx="946" cy="34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AR P丸ゴシック体M" w:hAnsi="AR P丸ゴシック体M" w:eastAsia="AR P丸ゴシック体M"/>
                                  <w:b w:val="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AR P丸ゴシック体M" w:hAnsi="AR P丸ゴシック体M" w:eastAsia="AR P丸ゴシック体M"/>
                                  <w:b w:val="1"/>
                                  <w:sz w:val="20"/>
                                </w:rPr>
                                <w:t>自殺に至る複合的要因への対策</w:t>
                              </w:r>
                            </w:p>
                          </w:txbxContent>
                        </wps:txbx>
                        <wps:bodyPr vertOverflow="overflow" horzOverflow="overflow" vert="eaVert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5.6pt;mso-position-vertical-relative:text;mso-position-horizontal-relative:text;position:absolute;height:211.2pt;width:67.2pt;margin-left:291.35000000000002pt;z-index:9;" coordsize="1344,4390" coordorigin="7499,6413" o:spid="_x0000_s1036" o:allowincell="t" o:allowoverlap="t">
                <v:shape id="オブジェクト 0" style="height:1344;width:4096;top:7789;left:6123;position:absolute;rotation:270;" coordsize="21600,21600" o:spid="_x0000_s1037" filled="t" fillcolor="#5b9bd5 [3204]" stroked="t" strokecolor="#42709c" strokeweight="1pt" o:spt="0" path="m0,7239l0,7239l675,7239l675,14361l0,14361xm1350,7239l1350,7239l2700,7239l2700,14361l1350,14361xm3375,7239l3375,7239l10511,7239l10511,0l21600,10800l10511,21600l10511,14361l3375,14361xe">
                  <v:path textboxrect="3375,7239,17944,14361" o:connecttype="custom" o:connectlocs="10511,0;0,10800;10511,21600;21600,10800" o:connectangles="270,180,90,0"/>
                  <v:fill/>
                  <v:stroke linestyle="single" miterlimit="8" joinstyle="miter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405;width:946;top:7398;left:7528;position:absolute;" o:spid="_x0000_s1038" filled="f" stroked="f" strokeweight="0.5pt" o:spt="202" type="#_x0000_t202">
                  <v:fill/>
                  <v:stroke linestyle="single"/>
                  <v:textbox style="layout-flow:vertical-ideographic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 w:ascii="AR P丸ゴシック体M" w:hAnsi="AR P丸ゴシック体M" w:eastAsia="AR P丸ゴシック体M"/>
                            <w:b w:val="1"/>
                            <w:sz w:val="20"/>
                          </w:rPr>
                        </w:pPr>
                        <w:r>
                          <w:rPr>
                            <w:rFonts w:hint="eastAsia" w:ascii="AR P丸ゴシック体M" w:hAnsi="AR P丸ゴシック体M" w:eastAsia="AR P丸ゴシック体M"/>
                            <w:b w:val="1"/>
                            <w:sz w:val="20"/>
                          </w:rPr>
                          <w:t>自殺に至る複合的要因への対策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6" behindDoc="0" locked="0" layoutInCell="1" hidden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65405</wp:posOffset>
                </wp:positionV>
                <wp:extent cx="4422775" cy="3393440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775" cy="3393440"/>
                          <a:chOff x="1678" y="7654"/>
                          <a:chExt cx="6965" cy="5344"/>
                        </a:xfrm>
                      </wpg:grpSpPr>
                      <wps:wsp>
                        <wps:cNvPr id="1040" name="オブジェクト 0"/>
                        <wps:cNvSpPr txBox="1"/>
                        <wps:spPr>
                          <a:xfrm>
                            <a:off x="1678" y="11314"/>
                            <a:ext cx="6965" cy="168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firstLine="1080" w:firstLineChars="600"/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  <w:t>自殺対策基本法　自殺総合対策大綱　社会福祉法</w:t>
                              </w:r>
                            </w:p>
                            <w:p>
                              <w:pPr>
                                <w:pStyle w:val="0"/>
                                <w:ind w:left="0" w:leftChars="0" w:firstLine="540" w:firstLineChars="300"/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  <w:t>いじめ防止対策推進法　生活困窮者自立支援法　介護保険法</w:t>
                              </w:r>
                            </w:p>
                            <w:p>
                              <w:pPr>
                                <w:pStyle w:val="0"/>
                                <w:ind w:left="0" w:leftChars="0" w:firstLine="540" w:firstLineChars="300"/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  <w:t>精神保健福祉法　地域包括ケアシステム　医療計画　地域福祉計画</w:t>
                              </w:r>
                            </w:p>
                            <w:p>
                              <w:pPr>
                                <w:pStyle w:val="0"/>
                                <w:ind w:left="0" w:leftChars="0" w:firstLine="0" w:firstLineChars="0"/>
                                <w:rPr>
                                  <w:rFonts w:hint="eastAsia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  <w:t>労働安全衛生法　過労死等防止対策推進法　過労死等防止対策推進法　労働基準法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1" name="オブジェクト 0"/>
                        <wps:cNvSpPr txBox="1"/>
                        <wps:spPr>
                          <a:xfrm>
                            <a:off x="2771" y="7654"/>
                            <a:ext cx="4529" cy="193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firstLine="1800" w:firstLineChars="1000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うつ状態　</w:t>
                              </w:r>
                            </w:p>
                            <w:p>
                              <w:pPr>
                                <w:pStyle w:val="0"/>
                                <w:ind w:left="0" w:leftChars="0" w:firstLine="1260" w:firstLineChars="700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精神疾患　家族の不和　</w:t>
                              </w:r>
                            </w:p>
                            <w:p>
                              <w:pPr>
                                <w:pStyle w:val="0"/>
                                <w:ind w:left="0" w:leftChars="0" w:firstLine="720" w:firstLineChars="400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身体疾患　過労　生活苦　失業</w:t>
                              </w:r>
                            </w:p>
                            <w:p>
                              <w:pPr>
                                <w:pStyle w:val="0"/>
                                <w:ind w:left="0" w:leftChars="0" w:firstLine="540" w:firstLineChars="300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子育ての悩み　　倒産　夫妻　介護・看病疲れ　仕事の悩み　非正規雇用　ＤＶ・性暴力　ひきこもり　職場の人間関係　被虐待　いじめ　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g:grpSp>
                        <wpg:cNvGrpSpPr/>
                        <wpg:grpSpPr>
                          <a:xfrm>
                            <a:off x="2260" y="9549"/>
                            <a:ext cx="5510" cy="1843"/>
                            <a:chOff x="2535" y="8340"/>
                            <a:chExt cx="5510" cy="1702"/>
                          </a:xfrm>
                        </wpg:grpSpPr>
                        <wps:wsp>
                          <wps:cNvPr id="1043" name="オブジェクト 0"/>
                          <wps:cNvSpPr txBox="1"/>
                          <wps:spPr>
                            <a:xfrm>
                              <a:off x="2535" y="8340"/>
                              <a:ext cx="5510" cy="1113"/>
                            </a:xfrm>
                            <a:prstGeom prst="rect">
                              <a:avLst/>
                            </a:prstGeom>
                            <a:noFill/>
                            <a:ln w="6350" cmpd="sng">
                              <a:noFill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0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ind w:left="0" w:leftChars="0" w:firstLine="1080" w:firstLineChars="600"/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【連携先】地域共生社会の実現の取組</w:t>
                                </w:r>
                              </w:p>
                              <w:p>
                                <w:pPr>
                                  <w:pStyle w:val="0"/>
                                  <w:ind w:left="0" w:leftChars="0" w:firstLine="720" w:firstLineChars="400"/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生活困窮者自立支援制度　社会孤立を防止する取組</w:t>
                                </w:r>
                              </w:p>
                              <w:p>
                                <w:pPr>
                                  <w:pStyle w:val="0"/>
                                  <w:ind w:left="0" w:leftChars="0" w:firstLine="540" w:firstLineChars="300"/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　未遂者支援のための医療・地域連携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/>
                        </wps:wsp>
                        <wps:wsp>
                          <wps:cNvPr id="1044" name="オブジェクト 0"/>
                          <wps:cNvSpPr txBox="1"/>
                          <wps:spPr>
                            <a:xfrm>
                              <a:off x="2535" y="9351"/>
                              <a:ext cx="5510" cy="691"/>
                            </a:xfrm>
                            <a:prstGeom prst="rect">
                              <a:avLst/>
                            </a:prstGeom>
                            <a:noFill/>
                            <a:ln w="6350" cmpd="sng">
                              <a:noFill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0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ind w:firstLine="480" w:firstLineChars="300"/>
                                  <w:rPr>
                                    <w:rFonts w:hint="eastAsia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職場問題　非正規雇用問題　長時間労働問題　失業問題　</w:t>
                                </w:r>
                              </w:p>
                              <w:p>
                                <w:pPr>
                                  <w:pStyle w:val="0"/>
                                  <w:ind w:left="0" w:leftChars="0" w:firstLineChars="0"/>
                                  <w:rPr>
                                    <w:rFonts w:hint="eastAsia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負債問題　健康問題　遺族支援問題　人権教育問題（いじめ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偏見、差別）　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5.15pt;mso-position-vertical-relative:text;mso-position-horizontal-relative:text;position:absolute;height:267.2pt;width:348.25pt;margin-left:13.05pt;z-index:26;" coordsize="6965,5344" coordorigin="1678,7654" o:spid="_x0000_s103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684;width:6965;top:11314;left:1678;position:absolute;" o:spid="_x0000_s104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firstLine="1080" w:firstLineChars="600"/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  <w:t>自殺対策基本法　自殺総合対策大綱　社会福祉法</w:t>
                        </w:r>
                      </w:p>
                      <w:p>
                        <w:pPr>
                          <w:pStyle w:val="0"/>
                          <w:ind w:left="0" w:leftChars="0" w:firstLine="540" w:firstLineChars="300"/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  <w:t>いじめ防止対策推進法　生活困窮者自立支援法　介護保険法</w:t>
                        </w:r>
                      </w:p>
                      <w:p>
                        <w:pPr>
                          <w:pStyle w:val="0"/>
                          <w:ind w:left="0" w:leftChars="0" w:firstLine="540" w:firstLineChars="300"/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  <w:t>精神保健福祉法　地域包括ケアシステム　医療計画　地域福祉計画</w:t>
                        </w:r>
                      </w:p>
                      <w:p>
                        <w:pPr>
                          <w:pStyle w:val="0"/>
                          <w:ind w:left="0" w:leftChars="0" w:firstLine="0" w:firstLineChars="0"/>
                          <w:rPr>
                            <w:rFonts w:hint="eastAsia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  <w:t>労働安全衛生法　過労死等防止対策推進法　過労死等防止対策推進法　労働基準法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931;width:4529;top:7654;left:2771;position:absolute;" o:spid="_x0000_s1041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firstLine="1800" w:firstLineChars="100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うつ状態　</w:t>
                        </w:r>
                      </w:p>
                      <w:p>
                        <w:pPr>
                          <w:pStyle w:val="0"/>
                          <w:ind w:left="0" w:leftChars="0" w:firstLine="1260" w:firstLineChars="70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精神疾患　家族の不和　</w:t>
                        </w:r>
                      </w:p>
                      <w:p>
                        <w:pPr>
                          <w:pStyle w:val="0"/>
                          <w:ind w:left="0" w:leftChars="0" w:firstLine="720" w:firstLineChars="40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身体疾患　過労　生活苦　失業</w:t>
                        </w:r>
                      </w:p>
                      <w:p>
                        <w:pPr>
                          <w:pStyle w:val="0"/>
                          <w:ind w:left="0" w:leftChars="0" w:firstLine="540" w:firstLineChars="30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子育ての悩み　　倒産　夫妻　介護・看病疲れ　仕事の悩み　非正規雇用　ＤＶ・性暴力　ひきこもり　職場の人間関係　被虐待　いじめ　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group id="_x0000_s1042" style="height:1843;width:5510;top:9549;left:2260;position:absolute;" coordsize="5510,1702" coordorigin="2535,8340">
                  <v:shape id="オブジェクト 0" style="height:1113;width:5510;top:8340;left:2535;position:absolute;" o:spid="_x0000_s1043" filled="f" stroked="f" strokeweight="0.5pt" o:spt="202" type="#_x0000_t202">
                    <v:fill/>
                    <v:stroke linestyle="single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ind w:left="0" w:leftChars="0" w:firstLine="1080" w:firstLineChars="60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【連携先】地域共生社会の実現の取組</w:t>
                          </w:r>
                        </w:p>
                        <w:p>
                          <w:pPr>
                            <w:pStyle w:val="0"/>
                            <w:ind w:left="0" w:leftChars="0" w:firstLine="720" w:firstLineChars="40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生活困窮者自立支援制度　社会孤立を防止する取組</w:t>
                          </w:r>
                        </w:p>
                        <w:p>
                          <w:pPr>
                            <w:pStyle w:val="0"/>
                            <w:ind w:left="0" w:leftChars="0" w:firstLine="540" w:firstLineChars="30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　未遂者支援のための医療・地域連携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shape id="オブジェクト 0" style="height:691;width:5510;top:9351;left:2535;position:absolute;" o:spid="_x0000_s1044" filled="f" stroked="f" strokeweight="0.5pt" o:spt="202" type="#_x0000_t202">
                    <v:fill/>
                    <v:stroke linestyle="single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ind w:firstLine="480" w:firstLineChars="300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職場問題　非正規雇用問題　長時間労働問題　失業問題　</w:t>
                          </w:r>
                        </w:p>
                        <w:p>
                          <w:pPr>
                            <w:pStyle w:val="0"/>
                            <w:ind w:left="0" w:leftChars="0" w:firstLineChars="0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負債問題　健康問題　遺族支援問題　人権教育問題（いじめ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,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偏見、差別）　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0" behindDoc="0" locked="0" layoutInCell="1" hidden="0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1270</wp:posOffset>
                </wp:positionV>
                <wp:extent cx="1158240" cy="1294765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1158240" cy="1294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1pt;mso-position-vertical-relative:text;mso-position-horizontal-relative:text;position:absolute;height:101.95pt;width:91.2pt;margin-left:360.1pt;z-index:20;" o:spid="_x0000_s1045" o:allowincell="t" o:allowoverlap="t" filled="t" fillcolor="#dae2f3 [664]" stroked="t" strokecolor="#b5c7e8 [1304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85090</wp:posOffset>
                </wp:positionV>
                <wp:extent cx="1118870" cy="514350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 txBox="1"/>
                      <wps:spPr>
                        <a:xfrm>
                          <a:off x="0" y="0"/>
                          <a:ext cx="111887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mpd="sng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auto"/>
                                <w:sz w:val="18"/>
                              </w:rPr>
                              <w:t>個々の問題解決に取り組む相談支援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.7pt;mso-position-vertical-relative:text;mso-position-horizontal-relative:text;position:absolute;height:40.5pt;width:88.1pt;margin-left:363.3pt;z-index:22;" o:spid="_x0000_s1046" o:allowincell="t" o:allowoverlap="t" filled="t" fillcolor="#dae2f3 [664]" stroked="t" strokecolor="#dae2f3 [664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color w:val="auto"/>
                          <w:sz w:val="18"/>
                        </w:rPr>
                        <w:t>個々の問題解決に取り組む相談支援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63500</wp:posOffset>
                </wp:positionV>
                <wp:extent cx="1158240" cy="97472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1158240" cy="974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5pt;mso-position-vertical-relative:text;mso-position-horizontal-relative:text;position:absolute;height:76.75pt;width:91.2pt;margin-left:360.2pt;z-index:16;" o:spid="_x0000_s1047" o:allowincell="t" o:allowoverlap="t" filled="t" fillcolor="#5b9bd5 [3204]" stroked="t" strokecolor="#5b9bd5 [3204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99060</wp:posOffset>
                </wp:positionV>
                <wp:extent cx="1068070" cy="939165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070" cy="939165"/>
                          <a:chOff x="8854" y="8413"/>
                          <a:chExt cx="1793" cy="1453"/>
                        </a:xfrm>
                      </wpg:grpSpPr>
                      <wps:wsp>
                        <wps:cNvPr id="1049" name="オブジェクト 0"/>
                        <wps:cNvSpPr txBox="1"/>
                        <wps:spPr>
                          <a:xfrm>
                            <a:off x="8885" y="9008"/>
                            <a:ext cx="1762" cy="85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ゴシック体M" w:hAnsi="AR Pゴシック体M" w:eastAsia="AR Pゴシック体M"/>
                                  <w:color w:val="auto"/>
                                  <w:sz w:val="18"/>
                                </w:rPr>
                                <w:t>包括的支援のための関係機関連携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50" name="オブジェクト 0"/>
                        <wps:cNvSpPr txBox="1"/>
                        <wps:spPr>
                          <a:xfrm>
                            <a:off x="8854" y="8413"/>
                            <a:ext cx="1778" cy="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AR Pゴシック体M" w:hAnsi="AR Pゴシック体M" w:eastAsia="AR Pゴシック体M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AR Pゴシック体M" w:hAnsi="AR Pゴシック体M" w:eastAsia="AR Pゴシック体M"/>
                                  <w:sz w:val="18"/>
                                </w:rPr>
                                <w:t>地域連携のレベ</w:t>
                              </w:r>
                              <w:r>
                                <w:rPr>
                                  <w:rFonts w:hint="eastAsia" w:ascii="AR Pゴシック体M" w:hAnsi="AR Pゴシック体M" w:eastAsia="AR Pゴシック体M"/>
                                  <w:sz w:val="20"/>
                                </w:rPr>
                                <w:t>ル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7.8pt;mso-position-vertical-relative:text;mso-position-horizontal-relative:text;position:absolute;height:73.95pt;width:84.1pt;margin-left:364.25pt;z-index:17;" coordsize="1793,1453" coordorigin="8854,8413" o:spid="_x0000_s104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858;width:1762;top:9008;left:8885;position:absolute;" o:spid="_x0000_s1049" filled="t" fillcolor="#5b9bd5 [3204]" stroked="t" strokecolor="#5b9bd5 [3204]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ゴシック体M" w:hAnsi="AR Pゴシック体M" w:eastAsia="AR Pゴシック体M"/>
                            <w:color w:val="auto"/>
                            <w:sz w:val="18"/>
                          </w:rPr>
                          <w:t>包括的支援のための関係機関連携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479;width:1778;top:8413;left:8854;position:absolute;" o:spid="_x0000_s1050" filled="t" fillcolor="#ffffff [3212]" stroked="t" strokecolor="#5b9bd5 [3204]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 w:ascii="AR Pゴシック体M" w:hAnsi="AR Pゴシック体M" w:eastAsia="AR Pゴシック体M"/>
                            <w:sz w:val="20"/>
                          </w:rPr>
                        </w:pPr>
                        <w:r>
                          <w:rPr>
                            <w:rFonts w:hint="eastAsia" w:ascii="AR Pゴシック体M" w:hAnsi="AR Pゴシック体M" w:eastAsia="AR Pゴシック体M"/>
                            <w:sz w:val="18"/>
                          </w:rPr>
                          <w:t>地域連携のレベ</w:t>
                        </w:r>
                        <w:r>
                          <w:rPr>
                            <w:rFonts w:hint="eastAsia" w:ascii="AR Pゴシック体M" w:hAnsi="AR Pゴシック体M" w:eastAsia="AR Pゴシック体M"/>
                            <w:sz w:val="20"/>
                          </w:rPr>
                          <w:t>ル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56515</wp:posOffset>
                </wp:positionV>
                <wp:extent cx="1158240" cy="90805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1158240" cy="908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.45pt;mso-position-vertical-relative:text;mso-position-horizontal-relative:text;position:absolute;height:71.5pt;width:91.2pt;margin-left:360.2pt;z-index:12;" o:spid="_x0000_s1051" o:allowincell="t" o:allowoverlap="t" filled="t" fillcolor="#305496 [2408]" stroked="t" strokecolor="#305496 [2408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126365</wp:posOffset>
                </wp:positionV>
                <wp:extent cx="1129030" cy="798830"/>
                <wp:effectExtent l="635" t="635" r="29845" b="63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798830"/>
                          <a:chOff x="8833" y="9972"/>
                          <a:chExt cx="1778" cy="1328"/>
                        </a:xfrm>
                      </wpg:grpSpPr>
                      <wps:wsp>
                        <wps:cNvPr id="1053" name="オブジェクト 0"/>
                        <wps:cNvSpPr txBox="1"/>
                        <wps:spPr>
                          <a:xfrm>
                            <a:off x="8885" y="10504"/>
                            <a:ext cx="1726" cy="79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ゴシック体M" w:hAnsi="AR Pゴシック体M" w:eastAsia="AR Pゴシック体M"/>
                                  <w:color w:val="FFFFFF" w:themeColor="background1"/>
                                  <w:sz w:val="22"/>
                                </w:rPr>
                                <w:t>法律・大綱・計画等の枠組み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54" name="オブジェクト 0"/>
                        <wps:cNvSpPr txBox="1"/>
                        <wps:spPr>
                          <a:xfrm>
                            <a:off x="8833" y="9972"/>
                            <a:ext cx="1778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AR Pゴシック体M" w:hAnsi="AR Pゴシック体M" w:eastAsia="AR Pゴシック体M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AR Pゴシック体M" w:hAnsi="AR Pゴシック体M" w:eastAsia="AR Pゴシック体M"/>
                                  <w:sz w:val="20"/>
                                </w:rPr>
                                <w:t>社会制度のレベル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9.94pt;mso-position-vertical-relative:text;mso-position-horizontal-relative:text;position:absolute;height:62.9pt;width:88.9pt;margin-left:361.15pt;z-index:13;" coordsize="1778,1328" coordorigin="8833,9972" o:spid="_x0000_s1052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96;width:1726;top:10504;left:8885;position:absolute;" o:spid="_x0000_s1053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ゴシック体M" w:hAnsi="AR Pゴシック体M" w:eastAsia="AR Pゴシック体M"/>
                            <w:color w:val="FFFFFF" w:themeColor="background1"/>
                            <w:sz w:val="22"/>
                          </w:rPr>
                          <w:t>法律・大綱・計画等の枠組み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479;width:1778;top:9972;left:8833;position:absolute;" o:spid="_x0000_s1054" filled="t" fillcolor="#ffffff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 w:ascii="AR Pゴシック体M" w:hAnsi="AR Pゴシック体M" w:eastAsia="AR Pゴシック体M"/>
                            <w:sz w:val="20"/>
                          </w:rPr>
                        </w:pPr>
                        <w:r>
                          <w:rPr>
                            <w:rFonts w:hint="eastAsia" w:ascii="AR Pゴシック体M" w:hAnsi="AR Pゴシック体M" w:eastAsia="AR Pゴシック体M"/>
                            <w:sz w:val="20"/>
                          </w:rPr>
                          <w:t>社会制度のレベル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229235</wp:posOffset>
                </wp:positionV>
                <wp:extent cx="2689225" cy="311150"/>
                <wp:effectExtent l="0" t="0" r="635" b="63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 txBox="1"/>
                      <wps:spPr>
                        <a:xfrm>
                          <a:off x="0" y="0"/>
                          <a:ext cx="26892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自殺総合対策推進センター資料を箕面市改編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厚生労働省作成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8.05pt;mso-position-vertical-relative:text;mso-position-horizontal-relative:text;position:absolute;height:24.5pt;mso-wrap-distance-top:0pt;width:211.75pt;mso-wrap-distance-left:16pt;margin-left:243.35pt;z-index:25;" o:spid="_x0000_s1055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0" w:firstLineChars="0"/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自殺総合対策推進センター資料を箕面市改編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厚生労働省作成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rPr>
          <w:rFonts w:hint="eastAsia" w:ascii="AR Pゴシック体M" w:hAnsi="AR Pゴシック体M" w:eastAsia="AR Pゴシック体M"/>
          <w:b w:val="1"/>
          <w:sz w:val="28"/>
        </w:rPr>
      </w:pPr>
      <w:r>
        <w:rPr>
          <w:rFonts w:hint="eastAsia" w:ascii="AR Pゴシック体M" w:hAnsi="AR Pゴシック体M" w:eastAsia="AR Pゴシック体M"/>
          <w:b w:val="1"/>
          <w:sz w:val="28"/>
        </w:rPr>
        <w:t>５－２　進行管理</w:t>
      </w:r>
    </w:p>
    <w:p>
      <w:pPr>
        <w:pStyle w:val="0"/>
        <w:rPr>
          <w:rFonts w:hint="eastAsia" w:ascii="AR Pゴシック体M" w:hAnsi="AR Pゴシック体M" w:eastAsia="AR Pゴシック体M"/>
          <w:b w:val="1"/>
          <w:sz w:val="28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/>
        </w:rPr>
        <w:t>計画の進行管理は、４－３－４のとおり毎年度その実績をとりまとめ、庁内関係部署による評価会議において分析評価を行い、生活困窮者自立支援推進協議会等と情報を共有します。また、今回のコロナ禍のように社会情勢等が大きく変化した場合には、計画の見直しを行うこととし、その見直しにあたっては、市民、関係機関、団体及び箕面市保健医療福祉総合審議会に意見を求めます。</w:t>
      </w:r>
    </w:p>
    <w:p>
      <w:pPr>
        <w:pStyle w:val="0"/>
        <w:ind w:left="0" w:leftChars="0" w:firstLine="240" w:firstLineChars="10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30" behindDoc="0" locked="0" layoutInCell="1" hidden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5288280</wp:posOffset>
                </wp:positionV>
                <wp:extent cx="3350260" cy="2918460"/>
                <wp:effectExtent l="635" t="635" r="29845" b="1079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260" cy="2918460"/>
                          <a:chOff x="3325" y="10137"/>
                          <a:chExt cx="5276" cy="4596"/>
                        </a:xfrm>
                      </wpg:grpSpPr>
                      <wps:wsp>
                        <wps:cNvPr id="1057" name="オブジェクト 0"/>
                        <wps:cNvSpPr txBox="1"/>
                        <wps:spPr>
                          <a:xfrm>
                            <a:off x="3325" y="10137"/>
                            <a:ext cx="5276" cy="4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箕面市自殺対策推進計画（改訂版）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発行年月：令和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年（</w:t>
                              </w:r>
                              <w:r>
                                <w:rPr>
                                  <w:rFonts w:hint="eastAsia"/>
                                </w:rPr>
                                <w:t>2021</w:t>
                              </w:r>
                              <w:r>
                                <w:rPr>
                                  <w:rFonts w:hint="eastAsia"/>
                                </w:rPr>
                                <w:t>年）●月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編集・発行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箕面市健康福祉部地域保健室</w:t>
                              </w:r>
                            </w:p>
                            <w:p>
                              <w:pPr>
                                <w:pStyle w:val="0"/>
                                <w:ind w:firstLine="1200" w:firstLineChars="5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</w:rPr>
                                <w:t>562-0014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大阪府箕面市萱野</w:t>
                              </w:r>
                              <w:r>
                                <w:rPr>
                                  <w:rFonts w:hint="eastAsia"/>
                                </w:rPr>
                                <w:t>5-8-1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電話：</w:t>
                              </w:r>
                              <w:r>
                                <w:rPr>
                                  <w:rFonts w:hint="eastAsia"/>
                                </w:rPr>
                                <w:t>072-727-9500</w:t>
                              </w:r>
                              <w:r>
                                <w:rPr>
                                  <w:rFonts w:hint="eastAsia"/>
                                </w:rPr>
                                <w:t>（代表）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ファクス：</w:t>
                              </w:r>
                              <w:r>
                                <w:rPr>
                                  <w:rFonts w:hint="eastAsia"/>
                                </w:rPr>
                                <w:t>072-727-3539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t"/>
                      </wps:wsp>
                      <wps:wsp>
                        <wps:cNvPr id="1058" name="オブジェクト 0"/>
                        <wps:cNvSpPr txBox="1"/>
                        <wps:spPr>
                          <a:xfrm>
                            <a:off x="5041" y="13725"/>
                            <a:ext cx="1444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印刷物番号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●●－●●</w:t>
                              </w:r>
                            </w:p>
                          </w:txbxContent>
                        </wps:txbx>
                        <wps:bodyPr vertOverflow="overflow" horzOverflow="overflow" wrap="none" lIns="74295" tIns="8890" rIns="74295" bIns="889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16.4pt;mso-position-vertical-relative:text;mso-position-horizontal-relative:text;position:absolute;height:229.8pt;width:263.8pt;margin-left:91.05pt;z-index:30;" coordsize="5276,4596" coordorigin="3325,10137" o:spid="_x0000_s105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596;width:5276;top:10137;left:3325;position:absolute;" o:spid="_x0000_s1057" filled="t" fillcolor="#ffffff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箕面市自殺対策推進計画（改訂版）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発行年月：令和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年（</w:t>
                        </w:r>
                        <w:r>
                          <w:rPr>
                            <w:rFonts w:hint="eastAsia"/>
                          </w:rPr>
                          <w:t>2021</w:t>
                        </w:r>
                        <w:r>
                          <w:rPr>
                            <w:rFonts w:hint="eastAsia"/>
                          </w:rPr>
                          <w:t>年）●月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編集・発行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箕面市健康福祉部地域保健室</w:t>
                        </w:r>
                      </w:p>
                      <w:p>
                        <w:pPr>
                          <w:pStyle w:val="0"/>
                          <w:ind w:firstLine="1200" w:firstLineChars="5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〒</w:t>
                        </w:r>
                        <w:r>
                          <w:rPr>
                            <w:rFonts w:hint="eastAsia"/>
                          </w:rPr>
                          <w:t>562-0014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大阪府箕面市萱野</w:t>
                        </w:r>
                        <w:r>
                          <w:rPr>
                            <w:rFonts w:hint="eastAsia"/>
                          </w:rPr>
                          <w:t>5-8-1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電話：</w:t>
                        </w:r>
                        <w:r>
                          <w:rPr>
                            <w:rFonts w:hint="eastAsia"/>
                          </w:rPr>
                          <w:t>072-727-9500</w:t>
                        </w:r>
                        <w:r>
                          <w:rPr>
                            <w:rFonts w:hint="eastAsia"/>
                          </w:rPr>
                          <w:t>（代表）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ファクス：</w:t>
                        </w:r>
                        <w:r>
                          <w:rPr>
                            <w:rFonts w:hint="eastAsia"/>
                          </w:rPr>
                          <w:t>072-727-3539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mso-wrap-style:none;height:818;width:1444;top:13725;left:5041;v-text-anchor:middle;position:absolute;" o:spid="_x0000_s1058" filled="t" fillcolor="#ffffff" stroked="t" strokecolor="#000000" strokeweight="0.5pt" o:spt="202" type="#_x0000_t202">
                  <v:fill/>
                  <v:stroke linestyle="single" filltype="solid"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印刷物番号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●●－●●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sectPr>
      <w:type w:val="continuous"/>
      <w:pgSz w:w="11906" w:h="16838"/>
      <w:pgMar w:top="1701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innerDocument_section_active_div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メイリオ" w:hAnsi="メイリオ" w:eastAsia="メイリオ"/>
      <w:dstrike w:val="0"/>
      <w:color w:val="323232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No Spacing"/>
    <w:next w:val="16"/>
    <w:link w:val="0"/>
    <w:uiPriority w:val="0"/>
    <w:qFormat/>
    <w:pPr>
      <w:widowControl w:val="0"/>
      <w:jc w:val="both"/>
    </w:pPr>
    <w:rPr/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page number"/>
    <w:basedOn w:val="10"/>
    <w:next w:val="20"/>
    <w:link w:val="0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テーマの表 35（ビジネス2-7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9D08E" w:themeColor="accent6" w:themeTint="99" w:sz="8" w:space="0"/>
        <w:left w:val="single" w:color="A9D08E" w:themeColor="accent6" w:themeTint="99" w:sz="8" w:space="0"/>
        <w:bottom w:val="single" w:color="A9D08E" w:themeColor="accent6" w:themeTint="99" w:sz="12" w:space="0"/>
        <w:right w:val="single" w:color="A9D08E" w:themeColor="accent6" w:themeTint="99" w:sz="12" w:space="0"/>
        <w:insideH w:val="single" w:color="A9D08E" w:themeColor="accent6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6" w:themeFillTint="33" w:themeFillShade="FF"/>
      </w:tcPr>
    </w:tblStylePr>
    <w:tblStylePr w:type="band2Vert">
      <w:tblPr/>
      <w:trPr/>
      <w:tcPr>
        <w:shd w:val="clear" w:color="auto" w:themeFill="accent6" w:themeFillTint="33" w:themeFillShade="FF"/>
      </w:tcPr>
    </w:tblStylePr>
    <w:tblStylePr w:type="lastCol">
      <w:rPr>
        <w:b w:val="1"/>
        <w:color w:val="548235" w:themeColor="accent6" w:themeShade="BF"/>
      </w:rPr>
      <w:tblPr/>
      <w:trPr/>
      <w:tcPr/>
    </w:tblStylePr>
    <w:tblStylePr w:type="firstCol">
      <w:rPr>
        <w:b w:val="1"/>
        <w:color w:val="548235" w:themeColor="accent6" w:themeShade="BF"/>
      </w:rPr>
      <w:tblPr/>
      <w:trPr/>
      <w:tcPr>
        <w:tcBorders>
          <w:left w:val="single" w:color="A9D08E" w:themeColor="accent6" w:themeTint="99" w:sz="8" w:space="0"/>
        </w:tcBorders>
      </w:tcPr>
    </w:tblStylePr>
    <w:tblStylePr w:type="lastRow">
      <w:rPr>
        <w:b w:val="1"/>
        <w:color w:val="548235" w:themeColor="accent6" w:themeShade="BF"/>
      </w:rPr>
      <w:tblPr/>
      <w:trPr/>
      <w:tcPr>
        <w:tcBorders>
          <w:bottom w:val="single" w:color="A9D08E" w:themeColor="accent6" w:themeTint="99" w:sz="12" w:space="0"/>
        </w:tcBorders>
        <w:shd w:val="clear" w:color="auto" w:themeFill="accent6" w:themeFillTint="33" w:themeFillShade="FF"/>
      </w:tcPr>
    </w:tblStylePr>
    <w:tblStylePr w:type="firstRow">
      <w:rPr>
        <w:b w:val="1"/>
        <w:color w:val="548235" w:themeColor="accent6" w:themeShade="BF"/>
      </w:rPr>
      <w:tblPr/>
      <w:trPr/>
      <w:tcPr>
        <w:tcBorders>
          <w:top w:val="single" w:color="A9D08E" w:themeColor="accent6" w:themeTint="99" w:sz="8" w:space="0"/>
          <w:bottom w:val="single" w:color="A9D08E" w:themeColor="accent6" w:themeTint="99" w:sz="8" w:space="0"/>
          <w:left w:val="single" w:color="A9D08E" w:themeColor="accent6" w:themeTint="99" w:sz="8" w:space="0"/>
        </w:tcBorders>
        <w:shd w:val="clear" w:color="auto" w:themeFill="accent6" w:themeFillTint="33" w:themeFillShade="FF"/>
      </w:tcPr>
    </w:tblStylePr>
  </w:style>
  <w:style w:type="table" w:styleId="23" w:customStyle="1">
    <w:name w:val="テーマの表  1（シンプル1-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916</TotalTime>
  <Pages>36</Pages>
  <Words>154</Words>
  <Characters>18511</Characters>
  <Application>JUST Note</Application>
  <Lines>2540</Lines>
  <Paragraphs>723</Paragraphs>
  <Company>箕面市役所</Company>
  <CharactersWithSpaces>18769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北村　清(手動)</dc:creator>
  <cp:lastModifiedBy>髙橋　幸子(手動)</cp:lastModifiedBy>
  <cp:lastPrinted>2021-11-27T23:50:20Z</cp:lastPrinted>
  <dcterms:created xsi:type="dcterms:W3CDTF">2021-10-20T09:02:00Z</dcterms:created>
  <dcterms:modified xsi:type="dcterms:W3CDTF">2021-11-29T01:49:41Z</dcterms:modified>
  <cp:revision>37</cp:revision>
</cp:coreProperties>
</file>