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第六中学校長寿命化改修に伴う設計委託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令和６年（</w:t>
      </w:r>
      <w:r>
        <w:rPr>
          <w:rFonts w:hint="eastAsia" w:asciiTheme="minorEastAsia" w:hAnsiTheme="minorEastAsia" w:eastAsiaTheme="minorEastAsia"/>
          <w:sz w:val="24"/>
        </w:rPr>
        <w:t>2024</w:t>
      </w:r>
      <w:r>
        <w:rPr>
          <w:rFonts w:hint="eastAsia" w:asciiTheme="minorEastAsia" w:hAnsiTheme="minorEastAsia" w:eastAsiaTheme="minorEastAsia"/>
          <w:sz w:val="24"/>
        </w:rPr>
        <w:t>年）　５月３０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3</Words>
  <Characters>125</Characters>
  <Application>JUST Note</Application>
  <Lines>32</Lines>
  <Paragraphs>20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水野　雄介(手動)</dc:creator>
  <cp:lastModifiedBy>谷邊　千聡(手動)</cp:lastModifiedBy>
  <cp:lastPrinted>2019-09-24T05:24:53Z</cp:lastPrinted>
  <dcterms:created xsi:type="dcterms:W3CDTF">2021-05-25T03:15:00Z</dcterms:created>
  <dcterms:modified xsi:type="dcterms:W3CDTF">2024-04-10T08:52:41Z</dcterms:modified>
  <cp:revision>9</cp:revision>
</cp:coreProperties>
</file>