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default"/>
          <w:b w:val="1"/>
          <w:sz w:val="32"/>
        </w:rPr>
      </w:pPr>
      <w:bookmarkStart w:id="0" w:name="_GoBack"/>
      <w:bookmarkEnd w:id="0"/>
    </w:p>
    <w:p>
      <w:pPr>
        <w:pStyle w:val="0"/>
        <w:jc w:val="right"/>
        <w:rPr>
          <w:rFonts w:hint="default"/>
          <w:b w:val="1"/>
          <w:sz w:val="32"/>
        </w:rPr>
      </w:pPr>
    </w:p>
    <w:p>
      <w:pPr>
        <w:pStyle w:val="0"/>
        <w:jc w:val="center"/>
        <w:rPr>
          <w:rFonts w:hint="default"/>
        </w:rPr>
      </w:pPr>
    </w:p>
    <w:p>
      <w:pPr>
        <w:pStyle w:val="0"/>
        <w:jc w:val="center"/>
        <w:rPr>
          <w:rFonts w:hint="default"/>
        </w:rPr>
      </w:pPr>
    </w:p>
    <w:p>
      <w:pPr>
        <w:pStyle w:val="0"/>
        <w:jc w:val="center"/>
        <w:rPr>
          <w:rFonts w:hint="default" w:ascii="HGS創英角ｺﾞｼｯｸUB" w:hAnsi="HGS創英角ｺﾞｼｯｸUB" w:eastAsia="HGS創英角ｺﾞｼｯｸUB"/>
          <w:sz w:val="48"/>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-461010</wp:posOffset>
                </wp:positionH>
                <wp:positionV relativeFrom="paragraph">
                  <wp:posOffset>259080</wp:posOffset>
                </wp:positionV>
                <wp:extent cx="6212840" cy="167576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6212840" cy="1675765"/>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5.65pt;mso-wrap-distance-bottom:0pt;margin-top:20.39pt;mso-position-vertical-relative:text;mso-position-horizontal-relative:text;position:absolute;height:131.94pt;mso-wrap-distance-top:0pt;width:489.2pt;mso-wrap-distance-left:5.65pt;margin-left:-36.29pt;z-index:2;" o:spid="_x0000_s1026"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jc w:val="center"/>
        <w:rPr>
          <w:rFonts w:hint="default" w:ascii="メイリオ" w:hAnsi="メイリオ" w:eastAsia="メイリオ"/>
          <w:sz w:val="48"/>
        </w:rPr>
      </w:pPr>
      <w:r>
        <w:rPr>
          <w:rFonts w:hint="eastAsia" w:ascii="メイリオ" w:hAnsi="メイリオ" w:eastAsia="メイリオ"/>
          <w:sz w:val="48"/>
        </w:rPr>
        <w:t>第８期　箕面市高齢者保健福祉計画・</w:t>
      </w:r>
    </w:p>
    <w:p>
      <w:pPr>
        <w:pStyle w:val="0"/>
        <w:jc w:val="center"/>
        <w:rPr>
          <w:rFonts w:hint="default" w:ascii="メイリオ" w:hAnsi="メイリオ" w:eastAsia="メイリオ"/>
          <w:sz w:val="48"/>
        </w:rPr>
      </w:pPr>
      <w:r>
        <w:rPr>
          <w:rFonts w:hint="eastAsia" w:ascii="メイリオ" w:hAnsi="メイリオ" w:eastAsia="メイリオ"/>
          <w:sz w:val="48"/>
        </w:rPr>
        <w:t>介護保険事業計画</w:t>
      </w:r>
      <w:r>
        <w:rPr>
          <w:rFonts w:hint="eastAsia" w:ascii="メイリオ" w:hAnsi="メイリオ" w:eastAsia="メイリオ"/>
          <w:sz w:val="36"/>
        </w:rPr>
        <w:t>（素案）</w:t>
      </w:r>
    </w:p>
    <w:p>
      <w:pPr>
        <w:pStyle w:val="0"/>
        <w:jc w:val="center"/>
        <w:rPr>
          <w:rFonts w:hint="default" w:ascii="メイリオ" w:hAnsi="メイリオ" w:eastAsia="メイリオ"/>
          <w:sz w:val="32"/>
        </w:rPr>
      </w:pPr>
    </w:p>
    <w:p>
      <w:pPr>
        <w:pStyle w:val="0"/>
        <w:jc w:val="center"/>
        <w:rPr>
          <w:rFonts w:hint="default" w:ascii="メイリオ" w:hAnsi="メイリオ" w:eastAsia="メイリオ"/>
          <w:sz w:val="32"/>
        </w:rPr>
      </w:pPr>
      <w:r>
        <w:rPr>
          <w:rFonts w:hint="eastAsia" w:ascii="メイリオ" w:hAnsi="メイリオ" w:eastAsia="メイリオ"/>
          <w:sz w:val="32"/>
        </w:rPr>
        <w:t>令和３年度</w:t>
      </w:r>
      <w:r>
        <w:rPr>
          <w:rFonts w:hint="eastAsia" w:ascii="メイリオ" w:hAnsi="メイリオ" w:eastAsia="メイリオ"/>
          <w:sz w:val="32"/>
        </w:rPr>
        <w:t>(2021</w:t>
      </w:r>
      <w:r>
        <w:rPr>
          <w:rFonts w:hint="eastAsia" w:ascii="メイリオ" w:hAnsi="メイリオ" w:eastAsia="メイリオ"/>
          <w:sz w:val="32"/>
        </w:rPr>
        <w:t>年度</w:t>
      </w:r>
      <w:r>
        <w:rPr>
          <w:rFonts w:hint="eastAsia" w:ascii="メイリオ" w:hAnsi="メイリオ" w:eastAsia="メイリオ"/>
          <w:sz w:val="32"/>
        </w:rPr>
        <w:t>)</w:t>
      </w:r>
      <w:r>
        <w:rPr>
          <w:rFonts w:hint="eastAsia" w:ascii="メイリオ" w:hAnsi="メイリオ" w:eastAsia="メイリオ"/>
          <w:sz w:val="32"/>
        </w:rPr>
        <w:t>～令和５年度</w:t>
      </w:r>
      <w:r>
        <w:rPr>
          <w:rFonts w:hint="eastAsia" w:ascii="メイリオ" w:hAnsi="メイリオ" w:eastAsia="メイリオ"/>
          <w:sz w:val="32"/>
        </w:rPr>
        <w:t>(2023</w:t>
      </w:r>
      <w:r>
        <w:rPr>
          <w:rFonts w:hint="eastAsia" w:ascii="メイリオ" w:hAnsi="メイリオ" w:eastAsia="メイリオ"/>
          <w:sz w:val="32"/>
        </w:rPr>
        <w:t>年度</w:t>
      </w:r>
      <w:r>
        <w:rPr>
          <w:rFonts w:hint="eastAsia" w:ascii="メイリオ" w:hAnsi="メイリオ" w:eastAsia="メイリオ"/>
          <w:sz w:val="32"/>
        </w:rPr>
        <w:t>)</w:t>
      </w:r>
    </w:p>
    <w:p>
      <w:pPr>
        <w:pStyle w:val="0"/>
        <w:jc w:val="center"/>
        <w:rPr>
          <w:rFonts w:hint="default" w:ascii="メイリオ" w:hAnsi="メイリオ" w:eastAsia="メイリオ"/>
          <w:sz w:val="48"/>
        </w:rPr>
      </w:pPr>
    </w:p>
    <w:p>
      <w:pPr>
        <w:pStyle w:val="0"/>
        <w:jc w:val="center"/>
        <w:rPr>
          <w:rFonts w:hint="default" w:ascii="メイリオ" w:hAnsi="メイリオ" w:eastAsia="メイリオ"/>
          <w:sz w:val="48"/>
        </w:rPr>
      </w:pPr>
    </w:p>
    <w:p>
      <w:pPr>
        <w:pStyle w:val="0"/>
        <w:jc w:val="both"/>
        <w:rPr>
          <w:rFonts w:hint="default" w:ascii="HGS創英角ｺﾞｼｯｸUB" w:hAnsi="HGS創英角ｺﾞｼｯｸUB" w:eastAsia="HGS創英角ｺﾞｼｯｸUB"/>
          <w:sz w:val="48"/>
        </w:rPr>
      </w:pPr>
    </w:p>
    <w:p>
      <w:pPr>
        <w:pStyle w:val="0"/>
        <w:jc w:val="center"/>
        <w:rPr>
          <w:rFonts w:hint="default" w:ascii="HGS創英角ｺﾞｼｯｸUB" w:hAnsi="HGS創英角ｺﾞｼｯｸUB" w:eastAsia="HGS創英角ｺﾞｼｯｸUB"/>
          <w:sz w:val="48"/>
        </w:rPr>
      </w:pPr>
    </w:p>
    <w:p>
      <w:pPr>
        <w:pStyle w:val="0"/>
        <w:jc w:val="center"/>
        <w:rPr>
          <w:rFonts w:hint="default" w:ascii="HGS創英角ｺﾞｼｯｸUB" w:hAnsi="HGS創英角ｺﾞｼｯｸUB" w:eastAsia="HGS創英角ｺﾞｼｯｸUB"/>
          <w:sz w:val="48"/>
        </w:rPr>
      </w:pPr>
    </w:p>
    <w:p>
      <w:pPr>
        <w:pStyle w:val="0"/>
        <w:jc w:val="center"/>
        <w:rPr>
          <w:rFonts w:hint="default" w:ascii="メイリオ" w:hAnsi="メイリオ" w:eastAsia="メイリオ"/>
          <w:sz w:val="32"/>
        </w:rPr>
      </w:pPr>
      <w:r>
        <w:rPr>
          <w:rFonts w:hint="eastAsia" w:ascii="メイリオ" w:hAnsi="メイリオ" w:eastAsia="メイリオ"/>
          <w:sz w:val="32"/>
        </w:rPr>
        <w:t>令和３年</w:t>
      </w:r>
      <w:r>
        <w:rPr>
          <w:rFonts w:hint="eastAsia" w:ascii="メイリオ" w:hAnsi="メイリオ" w:eastAsia="メイリオ"/>
          <w:sz w:val="32"/>
        </w:rPr>
        <w:t>(2021</w:t>
      </w:r>
      <w:r>
        <w:rPr>
          <w:rFonts w:hint="eastAsia" w:ascii="メイリオ" w:hAnsi="メイリオ" w:eastAsia="メイリオ"/>
          <w:sz w:val="32"/>
        </w:rPr>
        <w:t>年</w:t>
      </w:r>
      <w:r>
        <w:rPr>
          <w:rFonts w:hint="eastAsia" w:ascii="メイリオ" w:hAnsi="メイリオ" w:eastAsia="メイリオ"/>
          <w:sz w:val="32"/>
        </w:rPr>
        <w:t>)</w:t>
      </w:r>
      <w:r>
        <w:rPr>
          <w:rFonts w:hint="eastAsia" w:ascii="メイリオ" w:hAnsi="メイリオ" w:eastAsia="メイリオ"/>
          <w:sz w:val="32"/>
        </w:rPr>
        <w:t>１月</w:t>
      </w:r>
    </w:p>
    <w:p>
      <w:pPr>
        <w:pStyle w:val="0"/>
        <w:ind w:right="2525" w:rightChars="1052"/>
        <w:jc w:val="right"/>
        <w:rPr>
          <w:rFonts w:hint="default" w:ascii="メイリオ" w:hAnsi="メイリオ" w:eastAsia="メイリオ"/>
          <w:sz w:val="48"/>
        </w:rPr>
      </w:pPr>
      <w:r>
        <w:rPr>
          <w:rFonts w:hint="eastAsia"/>
        </w:rPr>
        <w:drawing>
          <wp:anchor distT="0" distB="0" distL="114300" distR="114300" simplePos="0" relativeHeight="3" behindDoc="0" locked="0" layoutInCell="1" hidden="0" allowOverlap="1">
            <wp:simplePos x="0" y="0"/>
            <wp:positionH relativeFrom="column">
              <wp:posOffset>1568450</wp:posOffset>
            </wp:positionH>
            <wp:positionV relativeFrom="paragraph">
              <wp:posOffset>83185</wp:posOffset>
            </wp:positionV>
            <wp:extent cx="507365" cy="453390"/>
            <wp:effectExtent l="0" t="0" r="0" b="0"/>
            <wp:wrapNone/>
            <wp:docPr id="1027" name="Picture 1"/>
            <a:graphic xmlns:a="http://schemas.openxmlformats.org/drawingml/2006/main">
              <a:graphicData uri="http://schemas.openxmlformats.org/drawingml/2006/picture">
                <pic:pic xmlns:pic="http://schemas.openxmlformats.org/drawingml/2006/picture">
                  <pic:nvPicPr>
                    <pic:cNvPr id="1027" name="Picture 1"/>
                    <pic:cNvPicPr>
                      <a:picLocks noChangeAspect="1"/>
                    </pic:cNvPicPr>
                  </pic:nvPicPr>
                  <pic:blipFill>
                    <a:blip r:embed="rId6"/>
                    <a:stretch>
                      <a:fillRect/>
                    </a:stretch>
                  </pic:blipFill>
                  <pic:spPr>
                    <a:xfrm>
                      <a:off x="0" y="0"/>
                      <a:ext cx="507365" cy="453390"/>
                    </a:xfrm>
                    <a:prstGeom prst="rect">
                      <a:avLst/>
                    </a:prstGeom>
                    <a:noFill/>
                    <a:ln w="9525">
                      <a:miter/>
                    </a:ln>
                  </pic:spPr>
                </pic:pic>
              </a:graphicData>
            </a:graphic>
          </wp:anchor>
        </w:drawing>
      </w:r>
      <w:r>
        <w:rPr>
          <w:rFonts w:hint="eastAsia" w:ascii="メイリオ" w:hAnsi="メイリオ" w:eastAsia="メイリオ"/>
          <w:sz w:val="48"/>
        </w:rPr>
        <w:t>箕　面　市</w:t>
      </w:r>
    </w:p>
    <w:p>
      <w:pPr>
        <w:rPr>
          <w:rFonts w:hint="default"/>
        </w:rPr>
        <w:sectPr>
          <w:footerReference r:id="rId5" w:type="default"/>
          <w:pgSz w:w="11906" w:h="16838"/>
          <w:pgMar w:top="1985" w:right="1701" w:bottom="1701" w:left="1701" w:header="851" w:footer="992" w:gutter="0"/>
          <w:cols w:space="720"/>
          <w:textDirection w:val="lrTb"/>
          <w:docGrid w:type="lines" w:linePitch="360"/>
        </w:sectPr>
      </w:pPr>
    </w:p>
    <w:p>
      <w:pPr>
        <w:pStyle w:val="0"/>
        <w:jc w:val="center"/>
        <w:rPr>
          <w:rFonts w:hint="default" w:ascii="ＭＳ ゴシック" w:hAnsi="ＭＳ ゴシック" w:eastAsia="ＭＳ ゴシック"/>
          <w:sz w:val="32"/>
        </w:rPr>
      </w:pPr>
      <w:r>
        <w:rPr>
          <w:rFonts w:hint="eastAsia" w:ascii="ＭＳ ゴシック" w:hAnsi="ＭＳ ゴシック" w:eastAsia="ＭＳ ゴシック"/>
          <w:sz w:val="32"/>
        </w:rPr>
        <w:t>目　　次</w:t>
      </w:r>
    </w:p>
    <w:p>
      <w:pPr>
        <w:pStyle w:val="27"/>
        <w:tabs>
          <w:tab w:val="right" w:leader="middleDot" w:pos="9060"/>
        </w:tabs>
        <w:ind w:left="240"/>
        <w:rPr>
          <w:rFonts w:hint="default" w:ascii="ＭＳ ゴシック" w:hAnsi="ＭＳ ゴシック" w:eastAsia="ＭＳ ゴシック"/>
          <w:sz w:val="21"/>
        </w:rPr>
      </w:pPr>
      <w:r>
        <w:rPr>
          <w:rFonts w:hint="default" w:ascii="ＭＳ ゴシック" w:hAnsi="ＭＳ ゴシック" w:eastAsia="ＭＳ ゴシック"/>
        </w:rPr>
        <w:fldChar w:fldCharType="begin"/>
      </w:r>
      <w:r>
        <w:rPr>
          <w:rFonts w:hint="default" w:ascii="ＭＳ ゴシック" w:hAnsi="ＭＳ ゴシック" w:eastAsia="ＭＳ ゴシック"/>
        </w:rPr>
        <w:instrText xml:space="preserve"> TOC \o "1-5" \h \z \u </w:instrText>
      </w:r>
      <w:r>
        <w:rPr>
          <w:rFonts w:hint="default" w:ascii="ＭＳ ゴシック" w:hAnsi="ＭＳ ゴシック" w:eastAsia="ＭＳ ゴシック"/>
        </w:rPr>
        <w:fldChar w:fldCharType="separate"/>
      </w:r>
      <w:r>
        <w:rPr>
          <w:rFonts w:hint="eastAsia"/>
        </w:rPr>
        <w:fldChar w:fldCharType="begin"/>
      </w:r>
      <w:r>
        <w:rPr>
          <w:rFonts w:hint="eastAsia"/>
        </w:rPr>
        <w:instrText xml:space="preserve"> HYPERLINK  \l "_Toc59007733"</w:instrText>
      </w:r>
      <w:r>
        <w:rPr>
          <w:rFonts w:hint="eastAsia"/>
        </w:rPr>
        <w:fldChar w:fldCharType="separate"/>
      </w:r>
      <w:r>
        <w:rPr>
          <w:rFonts w:hint="default" w:ascii="ＭＳ ゴシック" w:hAnsi="ＭＳ ゴシック" w:eastAsia="ＭＳ ゴシック"/>
        </w:rPr>
        <w:t>第１章　計画の概要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_Toc59007733 \h </w:instrText>
      </w:r>
      <w:r>
        <w:rPr>
          <w:rFonts w:hint="eastAsia"/>
        </w:rPr>
        <w:fldChar w:fldCharType="separate"/>
      </w:r>
      <w:r>
        <w:rPr>
          <w:rFonts w:hint="default" w:ascii="ＭＳ ゴシック" w:hAnsi="ＭＳ ゴシック" w:eastAsia="ＭＳ ゴシック"/>
        </w:rPr>
        <w:t>1</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"_Toc59007734"</w:instrText>
      </w:r>
      <w:r>
        <w:rPr>
          <w:rFonts w:hint="eastAsia"/>
        </w:rPr>
        <w:fldChar w:fldCharType="separate"/>
      </w:r>
      <w:r>
        <w:rPr>
          <w:rFonts w:hint="default" w:ascii="ＭＳ ゴシック" w:hAnsi="ＭＳ ゴシック" w:eastAsia="ＭＳ ゴシック"/>
        </w:rPr>
        <w:t>１．計画策定の趣旨と背景</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_Toc59007734 \h </w:instrText>
      </w:r>
      <w:r>
        <w:rPr>
          <w:rFonts w:hint="eastAsia"/>
        </w:rPr>
        <w:fldChar w:fldCharType="separate"/>
      </w:r>
      <w:r>
        <w:rPr>
          <w:rFonts w:hint="default" w:ascii="ＭＳ ゴシック" w:hAnsi="ＭＳ ゴシック" w:eastAsia="ＭＳ ゴシック"/>
        </w:rPr>
        <w:t>1</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"_Toc59007735"</w:instrText>
      </w:r>
      <w:r>
        <w:rPr>
          <w:rFonts w:hint="eastAsia"/>
        </w:rPr>
        <w:fldChar w:fldCharType="separate"/>
      </w:r>
      <w:r>
        <w:rPr>
          <w:rFonts w:hint="default" w:ascii="ＭＳ ゴシック" w:hAnsi="ＭＳ ゴシック" w:eastAsia="ＭＳ ゴシック"/>
        </w:rPr>
        <w:t>２．計画の位置付け</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_Toc59007735 \h </w:instrText>
      </w:r>
      <w:r>
        <w:rPr>
          <w:rFonts w:hint="eastAsia"/>
        </w:rPr>
        <w:fldChar w:fldCharType="separate"/>
      </w:r>
      <w:r>
        <w:rPr>
          <w:rFonts w:hint="default" w:ascii="ＭＳ ゴシック" w:hAnsi="ＭＳ ゴシック" w:eastAsia="ＭＳ ゴシック"/>
        </w:rPr>
        <w:t>1</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"_Toc59007736"</w:instrText>
      </w:r>
      <w:r>
        <w:rPr>
          <w:rFonts w:hint="eastAsia"/>
        </w:rPr>
        <w:fldChar w:fldCharType="separate"/>
      </w:r>
      <w:r>
        <w:rPr>
          <w:rFonts w:hint="default" w:ascii="ＭＳ ゴシック" w:hAnsi="ＭＳ ゴシック" w:eastAsia="ＭＳ ゴシック"/>
        </w:rPr>
        <w:t>（１）法的位置付け</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_Toc59007736 \h </w:instrText>
      </w:r>
      <w:r>
        <w:rPr>
          <w:rFonts w:hint="eastAsia"/>
        </w:rPr>
        <w:fldChar w:fldCharType="separate"/>
      </w:r>
      <w:r>
        <w:rPr>
          <w:rFonts w:hint="default" w:ascii="ＭＳ ゴシック" w:hAnsi="ＭＳ ゴシック" w:eastAsia="ＭＳ ゴシック"/>
        </w:rPr>
        <w:t>1</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"_Toc59007737"</w:instrText>
      </w:r>
      <w:r>
        <w:rPr>
          <w:rFonts w:hint="eastAsia"/>
        </w:rPr>
        <w:fldChar w:fldCharType="separate"/>
      </w:r>
      <w:r>
        <w:rPr>
          <w:rFonts w:hint="default" w:ascii="ＭＳ ゴシック" w:hAnsi="ＭＳ ゴシック" w:eastAsia="ＭＳ ゴシック"/>
        </w:rPr>
        <w:t>（２）他の計画等との関係</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_Toc59007737 \h </w:instrText>
      </w:r>
      <w:r>
        <w:rPr>
          <w:rFonts w:hint="eastAsia"/>
        </w:rPr>
        <w:fldChar w:fldCharType="separate"/>
      </w:r>
      <w:r>
        <w:rPr>
          <w:rFonts w:hint="default" w:ascii="ＭＳ ゴシック" w:hAnsi="ＭＳ ゴシック" w:eastAsia="ＭＳ ゴシック"/>
        </w:rPr>
        <w:t>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"_Toc59007738"</w:instrText>
      </w:r>
      <w:r>
        <w:rPr>
          <w:rFonts w:hint="eastAsia"/>
        </w:rPr>
        <w:fldChar w:fldCharType="separate"/>
      </w:r>
      <w:r>
        <w:rPr>
          <w:rFonts w:hint="default" w:ascii="ＭＳ ゴシック" w:hAnsi="ＭＳ ゴシック" w:eastAsia="ＭＳ ゴシック"/>
        </w:rPr>
        <w:t>３．計画の期間</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_Toc59007738 \h </w:instrText>
      </w:r>
      <w:r>
        <w:rPr>
          <w:rFonts w:hint="eastAsia"/>
        </w:rPr>
        <w:fldChar w:fldCharType="separate"/>
      </w:r>
      <w:r>
        <w:rPr>
          <w:rFonts w:hint="default" w:ascii="ＭＳ ゴシック" w:hAnsi="ＭＳ ゴシック" w:eastAsia="ＭＳ ゴシック"/>
        </w:rPr>
        <w:t>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"_Toc59007739"</w:instrText>
      </w:r>
      <w:r>
        <w:rPr>
          <w:rFonts w:hint="eastAsia"/>
        </w:rPr>
        <w:fldChar w:fldCharType="separate"/>
      </w:r>
      <w:r>
        <w:rPr>
          <w:rFonts w:hint="default" w:ascii="ＭＳ ゴシック" w:hAnsi="ＭＳ ゴシック" w:eastAsia="ＭＳ ゴシック"/>
        </w:rPr>
        <w:t>４．第８期の基本指針（国のガイドライン）</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_Toc59007739 \h </w:instrText>
      </w:r>
      <w:r>
        <w:rPr>
          <w:rFonts w:hint="eastAsia"/>
        </w:rPr>
        <w:fldChar w:fldCharType="separate"/>
      </w:r>
      <w:r>
        <w:rPr>
          <w:rFonts w:hint="default" w:ascii="ＭＳ ゴシック" w:hAnsi="ＭＳ ゴシック" w:eastAsia="ＭＳ ゴシック"/>
        </w:rPr>
        <w:t>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"_Toc59007740"</w:instrText>
      </w:r>
      <w:r>
        <w:rPr>
          <w:rFonts w:hint="eastAsia"/>
        </w:rPr>
        <w:fldChar w:fldCharType="separate"/>
      </w:r>
      <w:r>
        <w:rPr>
          <w:rFonts w:hint="default" w:ascii="ＭＳ ゴシック" w:hAnsi="ＭＳ ゴシック" w:eastAsia="ＭＳ ゴシック"/>
        </w:rPr>
        <w:t>（１）</w:t>
      </w:r>
      <w:r>
        <w:rPr>
          <w:rFonts w:hint="default" w:ascii="ＭＳ ゴシック" w:hAnsi="ＭＳ ゴシック" w:eastAsia="ＭＳ ゴシック"/>
        </w:rPr>
        <w:t>2025</w:t>
      </w:r>
      <w:r>
        <w:rPr>
          <w:rFonts w:hint="default" w:ascii="ＭＳ ゴシック" w:hAnsi="ＭＳ ゴシック" w:eastAsia="ＭＳ ゴシック"/>
        </w:rPr>
        <w:t>年・</w:t>
      </w:r>
      <w:r>
        <w:rPr>
          <w:rFonts w:hint="default" w:ascii="ＭＳ ゴシック" w:hAnsi="ＭＳ ゴシック" w:eastAsia="ＭＳ ゴシック"/>
        </w:rPr>
        <w:t>2040</w:t>
      </w:r>
      <w:r>
        <w:rPr>
          <w:rFonts w:hint="default" w:ascii="ＭＳ ゴシック" w:hAnsi="ＭＳ ゴシック" w:eastAsia="ＭＳ ゴシック"/>
        </w:rPr>
        <w:t>年を見据えたサービス基盤、人的基盤の整備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_Toc59007740 \h </w:instrText>
      </w:r>
      <w:r>
        <w:rPr>
          <w:rFonts w:hint="eastAsia"/>
        </w:rPr>
        <w:fldChar w:fldCharType="separate"/>
      </w:r>
      <w:r>
        <w:rPr>
          <w:rFonts w:hint="default" w:ascii="ＭＳ ゴシック" w:hAnsi="ＭＳ ゴシック" w:eastAsia="ＭＳ ゴシック"/>
        </w:rPr>
        <w:t>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"_Toc59007741"</w:instrText>
      </w:r>
      <w:r>
        <w:rPr>
          <w:rFonts w:hint="eastAsia"/>
        </w:rPr>
        <w:fldChar w:fldCharType="separate"/>
      </w:r>
      <w:r>
        <w:rPr>
          <w:rFonts w:hint="default" w:ascii="ＭＳ ゴシック" w:hAnsi="ＭＳ ゴシック" w:eastAsia="ＭＳ ゴシック"/>
        </w:rPr>
        <w:t>（２）地域共生社会の実現</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_Toc59007741 \h </w:instrText>
      </w:r>
      <w:r>
        <w:rPr>
          <w:rFonts w:hint="eastAsia"/>
        </w:rPr>
        <w:fldChar w:fldCharType="separate"/>
      </w:r>
      <w:r>
        <w:rPr>
          <w:rFonts w:hint="default" w:ascii="ＭＳ ゴシック" w:hAnsi="ＭＳ ゴシック" w:eastAsia="ＭＳ ゴシック"/>
        </w:rPr>
        <w:t>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"_Toc59007742"</w:instrText>
      </w:r>
      <w:r>
        <w:rPr>
          <w:rFonts w:hint="eastAsia"/>
        </w:rPr>
        <w:fldChar w:fldCharType="separate"/>
      </w:r>
      <w:r>
        <w:rPr>
          <w:rFonts w:hint="default" w:ascii="ＭＳ ゴシック" w:hAnsi="ＭＳ ゴシック" w:eastAsia="ＭＳ ゴシック"/>
        </w:rPr>
        <w:t>（３）</w:t>
      </w:r>
      <w:r>
        <w:rPr>
          <w:rFonts w:hint="eastAsia"/>
        </w:rPr>
        <w:fldChar w:fldCharType="end"/>
      </w:r>
      <w:r>
        <w:rPr>
          <w:rFonts w:hint="eastAsia"/>
          <w:fitText w:val="7200" w:id="1"/>
        </w:rPr>
        <w:fldChar w:fldCharType="begin"/>
      </w:r>
      <w:r>
        <w:rPr>
          <w:rFonts w:hint="eastAsia"/>
          <w:fitText w:val="7200" w:id="1"/>
        </w:rPr>
        <w:instrText xml:space="preserve"> HYPERLINK  \l "_Toc59007742"</w:instrText>
      </w:r>
      <w:r>
        <w:rPr>
          <w:rFonts w:hint="eastAsia"/>
          <w:fitText w:val="7200" w:id="1"/>
        </w:rPr>
        <w:fldChar w:fldCharType="separate"/>
      </w:r>
      <w:r>
        <w:rPr>
          <w:rFonts w:hint="default" w:ascii="ＭＳ ゴシック" w:hAnsi="ＭＳ ゴシック" w:eastAsia="ＭＳ ゴシック"/>
          <w:spacing w:val="0"/>
          <w:w w:val="88"/>
          <w:kern w:val="0"/>
          <w:fitText w:val="7200" w:id="1"/>
        </w:rPr>
        <w:t>介護予防・健康づくり施策の充実・推進（地域支援事業等の効果的な実施</w:t>
      </w:r>
      <w:r>
        <w:rPr>
          <w:rFonts w:hint="default" w:ascii="ＭＳ ゴシック" w:hAnsi="ＭＳ ゴシック" w:eastAsia="ＭＳ ゴシック"/>
          <w:spacing w:val="30"/>
          <w:w w:val="88"/>
          <w:kern w:val="0"/>
          <w:fitText w:val="7200" w:id="1"/>
        </w:rPr>
        <w:t>）</w:t>
      </w:r>
      <w:r>
        <w:rPr>
          <w:rFonts w:hint="eastAsia"/>
          <w:fitText w:val="7200" w:id="1"/>
        </w:rPr>
        <w:fldChar w:fldCharType="end"/>
      </w:r>
      <w:r>
        <w:rPr>
          <w:rFonts w:hint="eastAsia"/>
        </w:rPr>
        <w:fldChar w:fldCharType="begin"/>
      </w:r>
      <w:r>
        <w:rPr>
          <w:rFonts w:hint="eastAsia"/>
        </w:rPr>
        <w:instrText xml:space="preserve"> HYPERLINK  \l "_Toc59007742"</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_Toc59007742 \h </w:instrText>
      </w:r>
      <w:r>
        <w:rPr>
          <w:rFonts w:hint="eastAsia"/>
        </w:rPr>
        <w:fldChar w:fldCharType="separate"/>
      </w:r>
      <w:r>
        <w:rPr>
          <w:rFonts w:hint="default" w:ascii="ＭＳ ゴシック" w:hAnsi="ＭＳ ゴシック" w:eastAsia="ＭＳ ゴシック"/>
        </w:rPr>
        <w:t>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"_Toc59007743"</w:instrText>
      </w:r>
      <w:r>
        <w:rPr>
          <w:rFonts w:hint="eastAsia"/>
        </w:rPr>
        <w:fldChar w:fldCharType="separate"/>
      </w:r>
      <w:r>
        <w:rPr>
          <w:rFonts w:hint="default" w:ascii="ＭＳ ゴシック" w:hAnsi="ＭＳ ゴシック" w:eastAsia="ＭＳ ゴシック"/>
        </w:rPr>
        <w:t>（４）</w:t>
      </w:r>
      <w:r>
        <w:rPr>
          <w:rFonts w:hint="eastAsia"/>
        </w:rPr>
        <w:fldChar w:fldCharType="end"/>
      </w:r>
      <w:r>
        <w:rPr>
          <w:rFonts w:hint="eastAsia"/>
          <w:fitText w:val="7200" w:id="2"/>
        </w:rPr>
        <w:fldChar w:fldCharType="begin"/>
      </w:r>
      <w:r>
        <w:rPr>
          <w:rFonts w:hint="eastAsia"/>
          <w:fitText w:val="7200" w:id="2"/>
        </w:rPr>
        <w:instrText xml:space="preserve"> HYPERLINK  \l "_Toc59007743"</w:instrText>
      </w:r>
      <w:r>
        <w:rPr>
          <w:rFonts w:hint="eastAsia"/>
          <w:fitText w:val="7200" w:id="2"/>
        </w:rPr>
        <w:fldChar w:fldCharType="separate"/>
      </w:r>
      <w:r>
        <w:rPr>
          <w:rFonts w:hint="default" w:ascii="ＭＳ ゴシック" w:hAnsi="ＭＳ ゴシック" w:eastAsia="ＭＳ ゴシック"/>
          <w:spacing w:val="1"/>
          <w:w w:val="76"/>
          <w:kern w:val="0"/>
          <w:fitText w:val="7200" w:id="2"/>
        </w:rPr>
        <w:t>有料老人ホームとサービス付き高齢者住宅に係る都道府県・市町村間の情報連携の強</w:t>
      </w:r>
      <w:r>
        <w:rPr>
          <w:rFonts w:hint="default" w:ascii="ＭＳ ゴシック" w:hAnsi="ＭＳ ゴシック" w:eastAsia="ＭＳ ゴシック"/>
          <w:spacing w:val="13"/>
          <w:w w:val="76"/>
          <w:kern w:val="0"/>
          <w:fitText w:val="7200" w:id="2"/>
        </w:rPr>
        <w:t>化</w:t>
      </w:r>
      <w:r>
        <w:rPr>
          <w:rFonts w:hint="eastAsia"/>
          <w:fitText w:val="7200" w:id="2"/>
        </w:rPr>
        <w:fldChar w:fldCharType="end"/>
      </w:r>
      <w:r>
        <w:rPr>
          <w:rFonts w:hint="eastAsia"/>
        </w:rPr>
        <w:fldChar w:fldCharType="begin"/>
      </w:r>
      <w:r>
        <w:rPr>
          <w:rFonts w:hint="eastAsia"/>
        </w:rPr>
        <w:instrText xml:space="preserve"> HYPERLINK  \l "_Toc59007743"</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_Toc59007743 \h </w:instrText>
      </w:r>
      <w:r>
        <w:rPr>
          <w:rFonts w:hint="eastAsia"/>
        </w:rPr>
        <w:fldChar w:fldCharType="separate"/>
      </w:r>
      <w:r>
        <w:rPr>
          <w:rFonts w:hint="default" w:ascii="ＭＳ ゴシック" w:hAnsi="ＭＳ ゴシック" w:eastAsia="ＭＳ ゴシック"/>
        </w:rPr>
        <w:t>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"_Toc59007744"</w:instrText>
      </w:r>
      <w:r>
        <w:rPr>
          <w:rFonts w:hint="eastAsia"/>
        </w:rPr>
        <w:fldChar w:fldCharType="separate"/>
      </w:r>
      <w:r>
        <w:rPr>
          <w:rFonts w:hint="default" w:ascii="ＭＳ ゴシック" w:hAnsi="ＭＳ ゴシック" w:eastAsia="ＭＳ ゴシック"/>
        </w:rPr>
        <w:t>（５）認知症施策推進大綱等を</w:t>
      </w:r>
      <w:r>
        <w:rPr>
          <w:rFonts w:hint="eastAsia" w:ascii="ＭＳ ゴシック" w:hAnsi="ＭＳ ゴシック" w:eastAsia="ＭＳ ゴシック"/>
        </w:rPr>
        <w:t>ふ</w:t>
      </w:r>
      <w:r>
        <w:rPr>
          <w:rFonts w:hint="default" w:ascii="ＭＳ ゴシック" w:hAnsi="ＭＳ ゴシック" w:eastAsia="ＭＳ ゴシック"/>
        </w:rPr>
        <w:t>まえた認知症施策の推進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_Toc59007744 \h </w:instrText>
      </w:r>
      <w:r>
        <w:rPr>
          <w:rFonts w:hint="eastAsia"/>
        </w:rPr>
        <w:fldChar w:fldCharType="separate"/>
      </w:r>
      <w:r>
        <w:rPr>
          <w:rFonts w:hint="default" w:ascii="ＭＳ ゴシック" w:hAnsi="ＭＳ ゴシック" w:eastAsia="ＭＳ ゴシック"/>
        </w:rPr>
        <w:t>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"_Toc59007745"</w:instrText>
      </w:r>
      <w:r>
        <w:rPr>
          <w:rFonts w:hint="eastAsia"/>
        </w:rPr>
        <w:fldChar w:fldCharType="separate"/>
      </w:r>
      <w:r>
        <w:rPr>
          <w:rFonts w:hint="default" w:ascii="ＭＳ ゴシック" w:hAnsi="ＭＳ ゴシック" w:eastAsia="ＭＳ ゴシック"/>
        </w:rPr>
        <w:t>（６）</w:t>
      </w:r>
      <w:r>
        <w:rPr>
          <w:rFonts w:hint="eastAsia"/>
        </w:rPr>
        <w:fldChar w:fldCharType="end"/>
      </w:r>
      <w:r>
        <w:rPr>
          <w:rFonts w:hint="eastAsia"/>
          <w:fitText w:val="7200" w:id="3"/>
        </w:rPr>
        <w:fldChar w:fldCharType="begin"/>
      </w:r>
      <w:r>
        <w:rPr>
          <w:rFonts w:hint="eastAsia"/>
          <w:fitText w:val="7200" w:id="3"/>
        </w:rPr>
        <w:instrText xml:space="preserve"> HYPERLINK  \l "_Toc59007745"</w:instrText>
      </w:r>
      <w:r>
        <w:rPr>
          <w:rFonts w:hint="eastAsia"/>
          <w:fitText w:val="7200" w:id="3"/>
        </w:rPr>
        <w:fldChar w:fldCharType="separate"/>
      </w:r>
      <w:r>
        <w:rPr>
          <w:rFonts w:hint="default" w:ascii="ＭＳ ゴシック" w:hAnsi="ＭＳ ゴシック" w:eastAsia="ＭＳ ゴシック"/>
          <w:spacing w:val="1"/>
          <w:w w:val="90"/>
          <w:kern w:val="0"/>
          <w:fitText w:val="7200" w:id="3"/>
        </w:rPr>
        <w:t>地域包括ケアシステムを支える介護人材確保及び業務効率化の取組の強</w:t>
      </w:r>
      <w:r>
        <w:rPr>
          <w:rFonts w:hint="default" w:ascii="ＭＳ ゴシック" w:hAnsi="ＭＳ ゴシック" w:eastAsia="ＭＳ ゴシック"/>
          <w:spacing w:val="8"/>
          <w:w w:val="90"/>
          <w:kern w:val="0"/>
          <w:fitText w:val="7200" w:id="3"/>
        </w:rPr>
        <w:t>化</w:t>
      </w:r>
      <w:r>
        <w:rPr>
          <w:rFonts w:hint="eastAsia"/>
          <w:fitText w:val="7200" w:id="3"/>
        </w:rPr>
        <w:fldChar w:fldCharType="end"/>
      </w:r>
      <w:r>
        <w:rPr>
          <w:rFonts w:hint="eastAsia"/>
        </w:rPr>
        <w:fldChar w:fldCharType="begin"/>
      </w:r>
      <w:r>
        <w:rPr>
          <w:rFonts w:hint="eastAsia"/>
        </w:rPr>
        <w:instrText xml:space="preserve"> HYPERLINK  \l "_Toc59007745"</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_Toc59007745 \h </w:instrText>
      </w:r>
      <w:r>
        <w:rPr>
          <w:rFonts w:hint="eastAsia"/>
        </w:rPr>
        <w:fldChar w:fldCharType="separate"/>
      </w:r>
      <w:r>
        <w:rPr>
          <w:rFonts w:hint="default" w:ascii="ＭＳ ゴシック" w:hAnsi="ＭＳ ゴシック" w:eastAsia="ＭＳ ゴシック"/>
        </w:rPr>
        <w:t>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"_Toc59007746"</w:instrText>
      </w:r>
      <w:r>
        <w:rPr>
          <w:rFonts w:hint="eastAsia"/>
        </w:rPr>
        <w:fldChar w:fldCharType="separate"/>
      </w:r>
      <w:r>
        <w:rPr>
          <w:rFonts w:hint="default" w:ascii="ＭＳ ゴシック" w:hAnsi="ＭＳ ゴシック" w:eastAsia="ＭＳ ゴシック"/>
        </w:rPr>
        <w:t>（７）災害や感染症対策に係る体制整備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_Toc59007746 \h </w:instrText>
      </w:r>
      <w:r>
        <w:rPr>
          <w:rFonts w:hint="eastAsia"/>
        </w:rPr>
        <w:fldChar w:fldCharType="separate"/>
      </w:r>
      <w:r>
        <w:rPr>
          <w:rFonts w:hint="default" w:ascii="ＭＳ ゴシック" w:hAnsi="ＭＳ ゴシック" w:eastAsia="ＭＳ ゴシック"/>
        </w:rPr>
        <w:t>4</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"_Toc59007747"</w:instrText>
      </w:r>
      <w:r>
        <w:rPr>
          <w:rFonts w:hint="eastAsia"/>
        </w:rPr>
        <w:fldChar w:fldCharType="separate"/>
      </w:r>
      <w:r>
        <w:rPr>
          <w:rFonts w:hint="default" w:ascii="ＭＳ ゴシック" w:hAnsi="ＭＳ ゴシック" w:eastAsia="ＭＳ ゴシック"/>
        </w:rPr>
        <w:t>５．計画の策定体制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_Toc59007747 \h </w:instrText>
      </w:r>
      <w:r>
        <w:rPr>
          <w:rFonts w:hint="eastAsia"/>
        </w:rPr>
        <w:fldChar w:fldCharType="separate"/>
      </w:r>
      <w:r>
        <w:rPr>
          <w:rFonts w:hint="default" w:ascii="ＭＳ ゴシック" w:hAnsi="ＭＳ ゴシック" w:eastAsia="ＭＳ ゴシック"/>
        </w:rPr>
        <w:t>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"_Toc59007748"</w:instrText>
      </w:r>
      <w:r>
        <w:rPr>
          <w:rFonts w:hint="eastAsia"/>
        </w:rPr>
        <w:fldChar w:fldCharType="separate"/>
      </w:r>
      <w:r>
        <w:rPr>
          <w:rFonts w:hint="default" w:ascii="ＭＳ ゴシック" w:hAnsi="ＭＳ ゴシック" w:eastAsia="ＭＳ ゴシック"/>
        </w:rPr>
        <w:t>（１）計画策定のための審議会等</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_Toc59007748 \h </w:instrText>
      </w:r>
      <w:r>
        <w:rPr>
          <w:rFonts w:hint="eastAsia"/>
        </w:rPr>
        <w:fldChar w:fldCharType="separate"/>
      </w:r>
      <w:r>
        <w:rPr>
          <w:rFonts w:hint="default" w:ascii="ＭＳ ゴシック" w:hAnsi="ＭＳ ゴシック" w:eastAsia="ＭＳ ゴシック"/>
        </w:rPr>
        <w:t>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"_Toc59007749"</w:instrText>
      </w:r>
      <w:r>
        <w:rPr>
          <w:rFonts w:hint="eastAsia"/>
        </w:rPr>
        <w:fldChar w:fldCharType="separate"/>
      </w:r>
      <w:r>
        <w:rPr>
          <w:rFonts w:hint="default" w:ascii="ＭＳ ゴシック" w:hAnsi="ＭＳ ゴシック" w:eastAsia="ＭＳ ゴシック"/>
        </w:rPr>
        <w:t>（２）市民参加と周知</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_Toc59007749 \h </w:instrText>
      </w:r>
      <w:r>
        <w:rPr>
          <w:rFonts w:hint="eastAsia"/>
        </w:rPr>
        <w:fldChar w:fldCharType="separate"/>
      </w:r>
      <w:r>
        <w:rPr>
          <w:rFonts w:hint="default" w:ascii="ＭＳ ゴシック" w:hAnsi="ＭＳ ゴシック" w:eastAsia="ＭＳ ゴシック"/>
        </w:rPr>
        <w:t>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"_Toc59007750"</w:instrText>
      </w:r>
      <w:r>
        <w:rPr>
          <w:rFonts w:hint="eastAsia"/>
        </w:rPr>
        <w:fldChar w:fldCharType="separate"/>
      </w:r>
      <w:r>
        <w:rPr>
          <w:rFonts w:hint="default" w:ascii="ＭＳ ゴシック" w:hAnsi="ＭＳ ゴシック" w:eastAsia="ＭＳ ゴシック"/>
        </w:rPr>
        <w:t>（３）高齢者等実態調査結果等の反映</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_Toc59007750 \h </w:instrText>
      </w:r>
      <w:r>
        <w:rPr>
          <w:rFonts w:hint="eastAsia"/>
        </w:rPr>
        <w:fldChar w:fldCharType="separate"/>
      </w:r>
      <w:r>
        <w:rPr>
          <w:rFonts w:hint="default" w:ascii="ＭＳ ゴシック" w:hAnsi="ＭＳ ゴシック" w:eastAsia="ＭＳ ゴシック"/>
        </w:rPr>
        <w:t>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"_Toc59007751"</w:instrText>
      </w:r>
      <w:r>
        <w:rPr>
          <w:rFonts w:hint="eastAsia"/>
        </w:rPr>
        <w:fldChar w:fldCharType="separate"/>
      </w:r>
      <w:r>
        <w:rPr>
          <w:rFonts w:hint="default" w:ascii="ＭＳ ゴシック" w:hAnsi="ＭＳ ゴシック" w:eastAsia="ＭＳ ゴシック"/>
        </w:rPr>
        <w:t>（４）大阪府との連携</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_Toc59007751 \h </w:instrText>
      </w:r>
      <w:r>
        <w:rPr>
          <w:rFonts w:hint="eastAsia"/>
        </w:rPr>
        <w:fldChar w:fldCharType="separate"/>
      </w:r>
      <w:r>
        <w:rPr>
          <w:rFonts w:hint="default" w:ascii="ＭＳ ゴシック" w:hAnsi="ＭＳ ゴシック" w:eastAsia="ＭＳ ゴシック"/>
        </w:rPr>
        <w:t>5</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"_Toc59007752"</w:instrText>
      </w:r>
      <w:r>
        <w:rPr>
          <w:rFonts w:hint="eastAsia"/>
        </w:rPr>
        <w:fldChar w:fldCharType="separate"/>
      </w:r>
      <w:r>
        <w:rPr>
          <w:rFonts w:hint="default" w:ascii="ＭＳ ゴシック" w:hAnsi="ＭＳ ゴシック" w:eastAsia="ＭＳ ゴシック"/>
        </w:rPr>
        <w:t>６．計画や制度の周知</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_Toc59007752 \h </w:instrText>
      </w:r>
      <w:r>
        <w:rPr>
          <w:rFonts w:hint="eastAsia"/>
        </w:rPr>
        <w:fldChar w:fldCharType="separate"/>
      </w:r>
      <w:r>
        <w:rPr>
          <w:rFonts w:hint="default" w:ascii="ＭＳ ゴシック" w:hAnsi="ＭＳ ゴシック" w:eastAsia="ＭＳ ゴシック"/>
        </w:rPr>
        <w:t>6</w:t>
      </w:r>
      <w:r>
        <w:rPr>
          <w:rFonts w:hint="eastAsia"/>
        </w:rPr>
        <w:fldChar w:fldCharType="end"/>
      </w: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"_Toc59007753"</w:instrText>
      </w:r>
      <w:r>
        <w:rPr>
          <w:rFonts w:hint="eastAsia"/>
        </w:rPr>
        <w:fldChar w:fldCharType="separate"/>
      </w:r>
      <w:r>
        <w:rPr>
          <w:rFonts w:hint="default" w:ascii="ＭＳ ゴシック" w:hAnsi="ＭＳ ゴシック" w:eastAsia="ＭＳ ゴシック"/>
        </w:rPr>
        <w:t>第２章　高齢者を取り巻く現状と課題</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_Toc59007753 \h </w:instrText>
      </w:r>
      <w:r>
        <w:rPr>
          <w:rFonts w:hint="eastAsia"/>
        </w:rPr>
        <w:fldChar w:fldCharType="separate"/>
      </w:r>
      <w:r>
        <w:rPr>
          <w:rFonts w:hint="default" w:ascii="ＭＳ ゴシック" w:hAnsi="ＭＳ ゴシック" w:eastAsia="ＭＳ ゴシック"/>
        </w:rPr>
        <w:t>7</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"_Toc59007754"</w:instrText>
      </w:r>
      <w:r>
        <w:rPr>
          <w:rFonts w:hint="eastAsia"/>
        </w:rPr>
        <w:fldChar w:fldCharType="separate"/>
      </w:r>
      <w:r>
        <w:rPr>
          <w:rFonts w:hint="default" w:ascii="ＭＳ ゴシック" w:hAnsi="ＭＳ ゴシック" w:eastAsia="ＭＳ ゴシック"/>
        </w:rPr>
        <w:t>１．高齢者の状況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_Toc59007754 \h </w:instrText>
      </w:r>
      <w:r>
        <w:rPr>
          <w:rFonts w:hint="eastAsia"/>
        </w:rPr>
        <w:fldChar w:fldCharType="separate"/>
      </w:r>
      <w:r>
        <w:rPr>
          <w:rFonts w:hint="default" w:ascii="ＭＳ ゴシック" w:hAnsi="ＭＳ ゴシック" w:eastAsia="ＭＳ ゴシック"/>
        </w:rPr>
        <w:t>7</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"_Toc59007755"</w:instrText>
      </w:r>
      <w:r>
        <w:rPr>
          <w:rFonts w:hint="eastAsia"/>
        </w:rPr>
        <w:fldChar w:fldCharType="separate"/>
      </w:r>
      <w:r>
        <w:rPr>
          <w:rFonts w:hint="default" w:ascii="ＭＳ ゴシック" w:hAnsi="ＭＳ ゴシック" w:eastAsia="ＭＳ ゴシック"/>
        </w:rPr>
        <w:t>（１）高齢者人口の推移</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_Toc59007755 \h </w:instrText>
      </w:r>
      <w:r>
        <w:rPr>
          <w:rFonts w:hint="eastAsia"/>
        </w:rPr>
        <w:fldChar w:fldCharType="separate"/>
      </w:r>
      <w:r>
        <w:rPr>
          <w:rFonts w:hint="default" w:ascii="ＭＳ ゴシック" w:hAnsi="ＭＳ ゴシック" w:eastAsia="ＭＳ ゴシック"/>
        </w:rPr>
        <w:t>7</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"_Toc59007756"</w:instrText>
      </w:r>
      <w:r>
        <w:rPr>
          <w:rFonts w:hint="eastAsia"/>
        </w:rPr>
        <w:fldChar w:fldCharType="separate"/>
      </w:r>
      <w:r>
        <w:rPr>
          <w:rFonts w:hint="default" w:ascii="ＭＳ ゴシック" w:hAnsi="ＭＳ ゴシック" w:eastAsia="ＭＳ ゴシック"/>
        </w:rPr>
        <w:t>（２）要支援・要介護認定者数の推移</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_Toc59007756 \h </w:instrText>
      </w:r>
      <w:r>
        <w:rPr>
          <w:rFonts w:hint="eastAsia"/>
        </w:rPr>
        <w:fldChar w:fldCharType="separate"/>
      </w:r>
      <w:r>
        <w:rPr>
          <w:rFonts w:hint="default" w:ascii="ＭＳ ゴシック" w:hAnsi="ＭＳ ゴシック" w:eastAsia="ＭＳ ゴシック"/>
        </w:rPr>
        <w:t>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"_Toc59007757"</w:instrText>
      </w:r>
      <w:r>
        <w:rPr>
          <w:rFonts w:hint="eastAsia"/>
        </w:rPr>
        <w:fldChar w:fldCharType="separate"/>
      </w:r>
      <w:r>
        <w:rPr>
          <w:rFonts w:hint="default" w:ascii="ＭＳ ゴシック" w:hAnsi="ＭＳ ゴシック" w:eastAsia="ＭＳ ゴシック"/>
        </w:rPr>
        <w:t>（３）要支援・要介護認定の原因疾患</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_Toc59007757 \h </w:instrText>
      </w:r>
      <w:r>
        <w:rPr>
          <w:rFonts w:hint="eastAsia"/>
        </w:rPr>
        <w:fldChar w:fldCharType="separate"/>
      </w:r>
      <w:r>
        <w:rPr>
          <w:rFonts w:hint="default" w:ascii="ＭＳ ゴシック" w:hAnsi="ＭＳ ゴシック" w:eastAsia="ＭＳ ゴシック"/>
        </w:rPr>
        <w:t>12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"_Toc59007758"</w:instrText>
      </w:r>
      <w:r>
        <w:rPr>
          <w:rFonts w:hint="eastAsia"/>
        </w:rPr>
        <w:fldChar w:fldCharType="separate"/>
      </w:r>
      <w:r>
        <w:rPr>
          <w:rFonts w:hint="default" w:ascii="ＭＳ ゴシック" w:hAnsi="ＭＳ ゴシック" w:eastAsia="ＭＳ ゴシック"/>
        </w:rPr>
        <w:t>ア）新規に要支援・要介護認定を受けたかたの原因疾患</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_Toc59007758 \h </w:instrText>
      </w:r>
      <w:r>
        <w:rPr>
          <w:rFonts w:hint="eastAsia"/>
        </w:rPr>
        <w:fldChar w:fldCharType="separate"/>
      </w:r>
      <w:r>
        <w:rPr>
          <w:rFonts w:hint="default" w:ascii="ＭＳ ゴシック" w:hAnsi="ＭＳ ゴシック" w:eastAsia="ＭＳ ゴシック"/>
        </w:rPr>
        <w:t>12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"_Toc59007759"</w:instrText>
      </w:r>
      <w:r>
        <w:rPr>
          <w:rFonts w:hint="eastAsia"/>
        </w:rPr>
        <w:fldChar w:fldCharType="separate"/>
      </w:r>
      <w:r>
        <w:rPr>
          <w:rFonts w:hint="default" w:ascii="ＭＳ ゴシック" w:hAnsi="ＭＳ ゴシック" w:eastAsia="ＭＳ ゴシック"/>
        </w:rPr>
        <w:t>イ）</w:t>
      </w:r>
      <w:r>
        <w:rPr>
          <w:rFonts w:hint="eastAsia"/>
        </w:rPr>
        <w:fldChar w:fldCharType="end"/>
      </w:r>
      <w:r>
        <w:rPr>
          <w:rFonts w:hint="eastAsia"/>
          <w:fitText w:val="6720" w:id="4"/>
        </w:rPr>
        <w:fldChar w:fldCharType="begin"/>
      </w:r>
      <w:r>
        <w:rPr>
          <w:rFonts w:hint="eastAsia"/>
          <w:fitText w:val="6720" w:id="4"/>
        </w:rPr>
        <w:instrText xml:space="preserve"> HYPERLINK  \l "_Toc59007759"</w:instrText>
      </w:r>
      <w:r>
        <w:rPr>
          <w:rFonts w:hint="eastAsia"/>
          <w:fitText w:val="6720" w:id="4"/>
        </w:rPr>
        <w:fldChar w:fldCharType="separate"/>
      </w:r>
      <w:r>
        <w:rPr>
          <w:rFonts w:hint="default" w:ascii="ＭＳ ゴシック" w:hAnsi="ＭＳ ゴシック" w:eastAsia="ＭＳ ゴシック"/>
          <w:spacing w:val="0"/>
          <w:w w:val="93"/>
          <w:kern w:val="0"/>
          <w:fitText w:val="6720" w:id="4"/>
        </w:rPr>
        <w:t>主な原因疾患の介護度別にみた特徴（第７期計画策定時との比較</w:t>
      </w:r>
      <w:r>
        <w:rPr>
          <w:rFonts w:hint="default" w:ascii="ＭＳ ゴシック" w:hAnsi="ＭＳ ゴシック" w:eastAsia="ＭＳ ゴシック"/>
          <w:spacing w:val="12"/>
          <w:w w:val="93"/>
          <w:kern w:val="0"/>
          <w:fitText w:val="6720" w:id="4"/>
        </w:rPr>
        <w:t>）</w:t>
      </w:r>
      <w:r>
        <w:rPr>
          <w:rFonts w:hint="eastAsia"/>
          <w:fitText w:val="6720" w:id="4"/>
        </w:rPr>
        <w:fldChar w:fldCharType="end"/>
      </w:r>
      <w:r>
        <w:rPr>
          <w:rFonts w:hint="eastAsia"/>
        </w:rPr>
        <w:fldChar w:fldCharType="begin"/>
      </w:r>
      <w:r>
        <w:rPr>
          <w:rFonts w:hint="eastAsia"/>
        </w:rPr>
        <w:instrText xml:space="preserve"> HYPERLINK  \l "_Toc59007759"</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_Toc59007759 \h </w:instrText>
      </w:r>
      <w:r>
        <w:rPr>
          <w:rFonts w:hint="eastAsia"/>
        </w:rPr>
        <w:fldChar w:fldCharType="separate"/>
      </w:r>
      <w:r>
        <w:rPr>
          <w:rFonts w:hint="default" w:ascii="ＭＳ ゴシック" w:hAnsi="ＭＳ ゴシック" w:eastAsia="ＭＳ ゴシック"/>
        </w:rPr>
        <w:t>13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"_Toc59007760"</w:instrText>
      </w:r>
      <w:r>
        <w:rPr>
          <w:rFonts w:hint="eastAsia"/>
        </w:rPr>
        <w:fldChar w:fldCharType="separate"/>
      </w:r>
      <w:r>
        <w:rPr>
          <w:rFonts w:hint="default" w:ascii="ＭＳ ゴシック" w:hAnsi="ＭＳ ゴシック" w:eastAsia="ＭＳ ゴシック"/>
        </w:rPr>
        <w:t>（４）認知症高齢者の日常生活自立度の割合の推移</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_Toc59007760 \h </w:instrText>
      </w:r>
      <w:r>
        <w:rPr>
          <w:rFonts w:hint="eastAsia"/>
        </w:rPr>
        <w:fldChar w:fldCharType="separate"/>
      </w:r>
      <w:r>
        <w:rPr>
          <w:rFonts w:hint="default" w:ascii="ＭＳ ゴシック" w:hAnsi="ＭＳ ゴシック" w:eastAsia="ＭＳ ゴシック"/>
        </w:rPr>
        <w:t>15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"_Toc59007761"</w:instrText>
      </w:r>
      <w:r>
        <w:rPr>
          <w:rFonts w:hint="eastAsia"/>
        </w:rPr>
        <w:fldChar w:fldCharType="separate"/>
      </w:r>
      <w:r>
        <w:rPr>
          <w:rFonts w:hint="default" w:ascii="ＭＳ ゴシック" w:hAnsi="ＭＳ ゴシック" w:eastAsia="ＭＳ ゴシック"/>
        </w:rPr>
        <w:t>（５）高齢者のみの世帯の推移</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_Toc59007761 \h </w:instrText>
      </w:r>
      <w:r>
        <w:rPr>
          <w:rFonts w:hint="eastAsia"/>
        </w:rPr>
        <w:fldChar w:fldCharType="separate"/>
      </w:r>
      <w:r>
        <w:rPr>
          <w:rFonts w:hint="default" w:ascii="ＭＳ ゴシック" w:hAnsi="ＭＳ ゴシック" w:eastAsia="ＭＳ ゴシック"/>
        </w:rPr>
        <w:t>16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"_Toc59007762"</w:instrText>
      </w:r>
      <w:r>
        <w:rPr>
          <w:rFonts w:hint="eastAsia"/>
        </w:rPr>
        <w:fldChar w:fldCharType="separate"/>
      </w:r>
      <w:r>
        <w:rPr>
          <w:rFonts w:hint="default" w:ascii="ＭＳ ゴシック" w:hAnsi="ＭＳ ゴシック" w:eastAsia="ＭＳ ゴシック"/>
        </w:rPr>
        <w:t>（６）日常生活圏域の状況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_Toc59007762 \h </w:instrText>
      </w:r>
      <w:r>
        <w:rPr>
          <w:rFonts w:hint="eastAsia"/>
        </w:rPr>
        <w:fldChar w:fldCharType="separate"/>
      </w:r>
      <w:r>
        <w:rPr>
          <w:rFonts w:hint="default" w:ascii="ＭＳ ゴシック" w:hAnsi="ＭＳ ゴシック" w:eastAsia="ＭＳ ゴシック"/>
        </w:rPr>
        <w:t>17</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"_Toc59007763"</w:instrText>
      </w:r>
      <w:r>
        <w:rPr>
          <w:rFonts w:hint="eastAsia"/>
        </w:rPr>
        <w:fldChar w:fldCharType="separate"/>
      </w:r>
      <w:r>
        <w:rPr>
          <w:rFonts w:hint="default" w:ascii="ＭＳ ゴシック" w:hAnsi="ＭＳ ゴシック" w:eastAsia="ＭＳ ゴシック"/>
        </w:rPr>
        <w:t>２．高齢者等、家族介護者及び事業者の意識・実態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_Toc59007763 \h </w:instrText>
      </w:r>
      <w:r>
        <w:rPr>
          <w:rFonts w:hint="eastAsia"/>
        </w:rPr>
        <w:fldChar w:fldCharType="separate"/>
      </w:r>
      <w:r>
        <w:rPr>
          <w:rFonts w:hint="default" w:ascii="ＭＳ ゴシック" w:hAnsi="ＭＳ ゴシック" w:eastAsia="ＭＳ ゴシック"/>
        </w:rPr>
        <w:t>19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"_Toc59007764"</w:instrText>
      </w:r>
      <w:r>
        <w:rPr>
          <w:rFonts w:hint="eastAsia"/>
        </w:rPr>
        <w:fldChar w:fldCharType="separate"/>
      </w:r>
      <w:r>
        <w:rPr>
          <w:rFonts w:hint="default" w:ascii="ＭＳ ゴシック" w:hAnsi="ＭＳ ゴシック" w:eastAsia="ＭＳ ゴシック"/>
        </w:rPr>
        <w:t>（１）高齢者等の意識・実態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_Toc59007764 \h </w:instrText>
      </w:r>
      <w:r>
        <w:rPr>
          <w:rFonts w:hint="eastAsia"/>
        </w:rPr>
        <w:fldChar w:fldCharType="separate"/>
      </w:r>
      <w:r>
        <w:rPr>
          <w:rFonts w:hint="default" w:ascii="ＭＳ ゴシック" w:hAnsi="ＭＳ ゴシック" w:eastAsia="ＭＳ ゴシック"/>
        </w:rPr>
        <w:t>19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"_Toc59007765"</w:instrText>
      </w:r>
      <w:r>
        <w:rPr>
          <w:rFonts w:hint="eastAsia"/>
        </w:rPr>
        <w:fldChar w:fldCharType="separate"/>
      </w:r>
      <w:r>
        <w:rPr>
          <w:rFonts w:hint="default" w:ascii="ＭＳ ゴシック" w:hAnsi="ＭＳ ゴシック" w:eastAsia="ＭＳ ゴシック"/>
        </w:rPr>
        <w:t>（２）家族介護者の意識・実態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_Toc59007765 \h </w:instrText>
      </w:r>
      <w:r>
        <w:rPr>
          <w:rFonts w:hint="eastAsia"/>
        </w:rPr>
        <w:fldChar w:fldCharType="separate"/>
      </w:r>
      <w:r>
        <w:rPr>
          <w:rFonts w:hint="default" w:ascii="ＭＳ ゴシック" w:hAnsi="ＭＳ ゴシック" w:eastAsia="ＭＳ ゴシック"/>
        </w:rPr>
        <w:t>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rPr>
      </w:pPr>
      <w:r>
        <w:rPr>
          <w:rFonts w:hint="eastAsia"/>
        </w:rPr>
        <w:fldChar w:fldCharType="begin"/>
      </w:r>
      <w:r>
        <w:rPr>
          <w:rFonts w:hint="eastAsia"/>
        </w:rPr>
        <w:instrText xml:space="preserve"> HYPERLINK  \l "_Toc59007766"</w:instrText>
      </w:r>
      <w:r>
        <w:rPr>
          <w:rFonts w:hint="eastAsia"/>
        </w:rPr>
        <w:fldChar w:fldCharType="separate"/>
      </w:r>
      <w:r>
        <w:rPr>
          <w:rFonts w:hint="default" w:ascii="ＭＳ ゴシック" w:hAnsi="ＭＳ ゴシック" w:eastAsia="ＭＳ ゴシック"/>
        </w:rPr>
        <w:t>（３）事業者の意識・実態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_Toc59007766 \h </w:instrText>
      </w:r>
      <w:r>
        <w:rPr>
          <w:rFonts w:hint="eastAsia"/>
        </w:rPr>
        <w:fldChar w:fldCharType="separate"/>
      </w:r>
      <w:r>
        <w:rPr>
          <w:rFonts w:hint="default" w:ascii="ＭＳ ゴシック" w:hAnsi="ＭＳ ゴシック" w:eastAsia="ＭＳ ゴシック"/>
        </w:rPr>
        <w:t>37</w:t>
      </w:r>
      <w:r>
        <w:rPr>
          <w:rFonts w:hint="eastAsia"/>
        </w:rPr>
        <w:fldChar w:fldCharType="end"/>
      </w:r>
    </w:p>
    <w:p>
      <w:pPr>
        <w:pStyle w:val="0"/>
        <w:rPr>
          <w:rFonts w:hint="default"/>
        </w:rPr>
      </w:pP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"_Toc59007767"</w:instrText>
      </w:r>
      <w:r>
        <w:rPr>
          <w:rFonts w:hint="eastAsia"/>
        </w:rPr>
        <w:fldChar w:fldCharType="separate"/>
      </w:r>
      <w:r>
        <w:rPr>
          <w:rFonts w:hint="default" w:ascii="ＭＳ ゴシック" w:hAnsi="ＭＳ ゴシック" w:eastAsia="ＭＳ ゴシック"/>
        </w:rPr>
        <w:t>３．第７期計画の進捗状況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_Toc59007767 \h </w:instrText>
      </w:r>
      <w:r>
        <w:rPr>
          <w:rFonts w:hint="eastAsia"/>
        </w:rPr>
        <w:fldChar w:fldCharType="separate"/>
      </w:r>
      <w:r>
        <w:rPr>
          <w:rFonts w:hint="default" w:ascii="ＭＳ ゴシック" w:hAnsi="ＭＳ ゴシック" w:eastAsia="ＭＳ ゴシック"/>
        </w:rPr>
        <w:t>48</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"_Toc59007768"</w:instrText>
      </w:r>
      <w:r>
        <w:rPr>
          <w:rFonts w:hint="eastAsia"/>
        </w:rPr>
        <w:fldChar w:fldCharType="separate"/>
      </w:r>
      <w:r>
        <w:rPr>
          <w:rFonts w:hint="default" w:ascii="ＭＳ ゴシック" w:hAnsi="ＭＳ ゴシック" w:eastAsia="ＭＳ ゴシック"/>
        </w:rPr>
        <w:t>（１）介護保険サービスの状況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_Toc59007768 \h </w:instrText>
      </w:r>
      <w:r>
        <w:rPr>
          <w:rFonts w:hint="eastAsia"/>
        </w:rPr>
        <w:fldChar w:fldCharType="separate"/>
      </w:r>
      <w:r>
        <w:rPr>
          <w:rFonts w:hint="default" w:ascii="ＭＳ ゴシック" w:hAnsi="ＭＳ ゴシック" w:eastAsia="ＭＳ ゴシック"/>
        </w:rPr>
        <w:t>48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"_Toc59007769"</w:instrText>
      </w:r>
      <w:r>
        <w:rPr>
          <w:rFonts w:hint="eastAsia"/>
        </w:rPr>
        <w:fldChar w:fldCharType="separate"/>
      </w:r>
      <w:r>
        <w:rPr>
          <w:rFonts w:hint="default" w:ascii="ＭＳ ゴシック" w:hAnsi="ＭＳ ゴシック" w:eastAsia="ＭＳ ゴシック"/>
        </w:rPr>
        <w:t>ア）サービスの利用状況及び給付額の状況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_Toc59007769 \h </w:instrText>
      </w:r>
      <w:r>
        <w:rPr>
          <w:rFonts w:hint="eastAsia"/>
        </w:rPr>
        <w:fldChar w:fldCharType="separate"/>
      </w:r>
      <w:r>
        <w:rPr>
          <w:rFonts w:hint="default" w:ascii="ＭＳ ゴシック" w:hAnsi="ＭＳ ゴシック" w:eastAsia="ＭＳ ゴシック"/>
        </w:rPr>
        <w:t>48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"_Toc59007770"</w:instrText>
      </w:r>
      <w:r>
        <w:rPr>
          <w:rFonts w:hint="eastAsia"/>
        </w:rPr>
        <w:fldChar w:fldCharType="separate"/>
      </w:r>
      <w:r>
        <w:rPr>
          <w:rFonts w:hint="default" w:ascii="ＭＳ ゴシック" w:hAnsi="ＭＳ ゴシック" w:eastAsia="ＭＳ ゴシック"/>
        </w:rPr>
        <w:t>イ）サービス基盤の整備状況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_Toc59007770 \h </w:instrText>
      </w:r>
      <w:r>
        <w:rPr>
          <w:rFonts w:hint="eastAsia"/>
        </w:rPr>
        <w:fldChar w:fldCharType="separate"/>
      </w:r>
      <w:r>
        <w:rPr>
          <w:rFonts w:hint="default" w:ascii="ＭＳ ゴシック" w:hAnsi="ＭＳ ゴシック" w:eastAsia="ＭＳ ゴシック"/>
        </w:rPr>
        <w:t>50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"_Toc59007771"</w:instrText>
      </w:r>
      <w:r>
        <w:rPr>
          <w:rFonts w:hint="eastAsia"/>
        </w:rPr>
        <w:fldChar w:fldCharType="separate"/>
      </w:r>
      <w:r>
        <w:rPr>
          <w:rFonts w:hint="default" w:ascii="ＭＳ ゴシック" w:hAnsi="ＭＳ ゴシック" w:eastAsia="ＭＳ ゴシック"/>
        </w:rPr>
        <w:t>ウ）サービスの給付実績</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_Toc59007771 \h </w:instrText>
      </w:r>
      <w:r>
        <w:rPr>
          <w:rFonts w:hint="eastAsia"/>
        </w:rPr>
        <w:fldChar w:fldCharType="separate"/>
      </w:r>
      <w:r>
        <w:rPr>
          <w:rFonts w:hint="default" w:ascii="ＭＳ ゴシック" w:hAnsi="ＭＳ ゴシック" w:eastAsia="ＭＳ ゴシック"/>
        </w:rPr>
        <w:t>53</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"_Toc59007772"</w:instrText>
      </w:r>
      <w:r>
        <w:rPr>
          <w:rFonts w:hint="eastAsia"/>
        </w:rPr>
        <w:fldChar w:fldCharType="separate"/>
      </w:r>
      <w:r>
        <w:rPr>
          <w:rFonts w:hint="default" w:ascii="ＭＳ ゴシック" w:hAnsi="ＭＳ ゴシック" w:eastAsia="ＭＳ ゴシック"/>
        </w:rPr>
        <w:t>（２）主な重点施策・事業の取組状況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_Toc59007772 \h </w:instrText>
      </w:r>
      <w:r>
        <w:rPr>
          <w:rFonts w:hint="eastAsia"/>
        </w:rPr>
        <w:fldChar w:fldCharType="separate"/>
      </w:r>
      <w:r>
        <w:rPr>
          <w:rFonts w:hint="default" w:ascii="ＭＳ ゴシック" w:hAnsi="ＭＳ ゴシック" w:eastAsia="ＭＳ ゴシック"/>
        </w:rPr>
        <w:t>56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"_Toc59007773"</w:instrText>
      </w:r>
      <w:r>
        <w:rPr>
          <w:rFonts w:hint="eastAsia"/>
        </w:rPr>
        <w:fldChar w:fldCharType="separate"/>
      </w:r>
      <w:r>
        <w:rPr>
          <w:rFonts w:hint="default" w:ascii="ＭＳ ゴシック" w:hAnsi="ＭＳ ゴシック" w:eastAsia="ＭＳ ゴシック"/>
        </w:rPr>
        <w:t>ア）健康で生きがいのある暮らしの推進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_Toc59007773 \h </w:instrText>
      </w:r>
      <w:r>
        <w:rPr>
          <w:rFonts w:hint="eastAsia"/>
        </w:rPr>
        <w:fldChar w:fldCharType="separate"/>
      </w:r>
      <w:r>
        <w:rPr>
          <w:rFonts w:hint="default" w:ascii="ＭＳ ゴシック" w:hAnsi="ＭＳ ゴシック" w:eastAsia="ＭＳ ゴシック"/>
        </w:rPr>
        <w:t>56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"_Toc59007774"</w:instrText>
      </w:r>
      <w:r>
        <w:rPr>
          <w:rFonts w:hint="eastAsia"/>
        </w:rPr>
        <w:fldChar w:fldCharType="separate"/>
      </w:r>
      <w:r>
        <w:rPr>
          <w:rFonts w:hint="default" w:ascii="ＭＳ ゴシック" w:hAnsi="ＭＳ ゴシック" w:eastAsia="ＭＳ ゴシック"/>
        </w:rPr>
        <w:t>イ）地域包括ケアシステムの深化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_Toc59007774 \h </w:instrText>
      </w:r>
      <w:r>
        <w:rPr>
          <w:rFonts w:hint="eastAsia"/>
        </w:rPr>
        <w:fldChar w:fldCharType="separate"/>
      </w:r>
      <w:r>
        <w:rPr>
          <w:rFonts w:hint="default" w:ascii="ＭＳ ゴシック" w:hAnsi="ＭＳ ゴシック" w:eastAsia="ＭＳ ゴシック"/>
        </w:rPr>
        <w:t>61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"_Toc59007775"</w:instrText>
      </w:r>
      <w:r>
        <w:rPr>
          <w:rFonts w:hint="eastAsia"/>
        </w:rPr>
        <w:fldChar w:fldCharType="separate"/>
      </w:r>
      <w:r>
        <w:rPr>
          <w:rFonts w:hint="default" w:ascii="ＭＳ ゴシック" w:hAnsi="ＭＳ ゴシック" w:eastAsia="ＭＳ ゴシック"/>
        </w:rPr>
        <w:t>ウ）認知症高齢者支援策の充実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_Toc59007775 \h </w:instrText>
      </w:r>
      <w:r>
        <w:rPr>
          <w:rFonts w:hint="eastAsia"/>
        </w:rPr>
        <w:fldChar w:fldCharType="separate"/>
      </w:r>
      <w:r>
        <w:rPr>
          <w:rFonts w:hint="default" w:ascii="ＭＳ ゴシック" w:hAnsi="ＭＳ ゴシック" w:eastAsia="ＭＳ ゴシック"/>
        </w:rPr>
        <w:t>69</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"_Toc59007776"</w:instrText>
      </w:r>
      <w:r>
        <w:rPr>
          <w:rFonts w:hint="eastAsia"/>
        </w:rPr>
        <w:fldChar w:fldCharType="separate"/>
      </w:r>
      <w:r>
        <w:rPr>
          <w:rFonts w:hint="default" w:ascii="ＭＳ ゴシック" w:hAnsi="ＭＳ ゴシック" w:eastAsia="ＭＳ ゴシック"/>
        </w:rPr>
        <w:t>エ）介護サービスの質の確保・向上と適正・円滑な運営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_Toc59007776 \h </w:instrText>
      </w:r>
      <w:r>
        <w:rPr>
          <w:rFonts w:hint="eastAsia"/>
        </w:rPr>
        <w:fldChar w:fldCharType="separate"/>
      </w:r>
      <w:r>
        <w:rPr>
          <w:rFonts w:hint="default" w:ascii="ＭＳ ゴシック" w:hAnsi="ＭＳ ゴシック" w:eastAsia="ＭＳ ゴシック"/>
        </w:rPr>
        <w:t>72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"_Toc59007777"</w:instrText>
      </w:r>
      <w:r>
        <w:rPr>
          <w:rFonts w:hint="eastAsia"/>
        </w:rPr>
        <w:fldChar w:fldCharType="separate"/>
      </w:r>
      <w:r>
        <w:rPr>
          <w:rFonts w:hint="default" w:ascii="ＭＳ ゴシック" w:hAnsi="ＭＳ ゴシック" w:eastAsia="ＭＳ ゴシック"/>
        </w:rPr>
        <w:t>オ）安全・安心のまちづくりの推進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_Toc59007777 \h </w:instrText>
      </w:r>
      <w:r>
        <w:rPr>
          <w:rFonts w:hint="eastAsia"/>
        </w:rPr>
        <w:fldChar w:fldCharType="separate"/>
      </w:r>
      <w:r>
        <w:rPr>
          <w:rFonts w:hint="default" w:ascii="ＭＳ ゴシック" w:hAnsi="ＭＳ ゴシック" w:eastAsia="ＭＳ ゴシック"/>
        </w:rPr>
        <w:t>75</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"_Toc59007778"</w:instrText>
      </w:r>
      <w:r>
        <w:rPr>
          <w:rFonts w:hint="eastAsia"/>
        </w:rPr>
        <w:fldChar w:fldCharType="separate"/>
      </w:r>
      <w:r>
        <w:rPr>
          <w:rFonts w:hint="default" w:ascii="ＭＳ ゴシック" w:hAnsi="ＭＳ ゴシック" w:eastAsia="ＭＳ ゴシック"/>
        </w:rPr>
        <w:t>４．課題の整理</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_Toc59007778 \h </w:instrText>
      </w:r>
      <w:r>
        <w:rPr>
          <w:rFonts w:hint="eastAsia"/>
        </w:rPr>
        <w:fldChar w:fldCharType="separate"/>
      </w:r>
      <w:r>
        <w:rPr>
          <w:rFonts w:hint="default" w:ascii="ＭＳ ゴシック" w:hAnsi="ＭＳ ゴシック" w:eastAsia="ＭＳ ゴシック"/>
        </w:rPr>
        <w:t>76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"_Toc59007779"</w:instrText>
      </w:r>
      <w:r>
        <w:rPr>
          <w:rFonts w:hint="eastAsia"/>
        </w:rPr>
        <w:fldChar w:fldCharType="separate"/>
      </w:r>
      <w:r>
        <w:rPr>
          <w:rFonts w:hint="default" w:ascii="ＭＳ ゴシック" w:hAnsi="ＭＳ ゴシック" w:eastAsia="ＭＳ ゴシック"/>
        </w:rPr>
        <w:t>（１）総合事業や生活支援サービスの充実について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_Toc59007779 \h </w:instrText>
      </w:r>
      <w:r>
        <w:rPr>
          <w:rFonts w:hint="eastAsia"/>
        </w:rPr>
        <w:fldChar w:fldCharType="separate"/>
      </w:r>
      <w:r>
        <w:rPr>
          <w:rFonts w:hint="default" w:ascii="ＭＳ ゴシック" w:hAnsi="ＭＳ ゴシック" w:eastAsia="ＭＳ ゴシック"/>
        </w:rPr>
        <w:t>76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"_Toc59007780"</w:instrText>
      </w:r>
      <w:r>
        <w:rPr>
          <w:rFonts w:hint="eastAsia"/>
        </w:rPr>
        <w:fldChar w:fldCharType="separate"/>
      </w:r>
      <w:r>
        <w:rPr>
          <w:rFonts w:hint="default" w:ascii="ＭＳ ゴシック" w:hAnsi="ＭＳ ゴシック" w:eastAsia="ＭＳ ゴシック"/>
        </w:rPr>
        <w:t>（２）在宅医療・介護連携の推進について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_Toc59007780 \h </w:instrText>
      </w:r>
      <w:r>
        <w:rPr>
          <w:rFonts w:hint="eastAsia"/>
        </w:rPr>
        <w:fldChar w:fldCharType="separate"/>
      </w:r>
      <w:r>
        <w:rPr>
          <w:rFonts w:hint="default" w:ascii="ＭＳ ゴシック" w:hAnsi="ＭＳ ゴシック" w:eastAsia="ＭＳ ゴシック"/>
        </w:rPr>
        <w:t>76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"_Toc59007781"</w:instrText>
      </w:r>
      <w:r>
        <w:rPr>
          <w:rFonts w:hint="eastAsia"/>
        </w:rPr>
        <w:fldChar w:fldCharType="separate"/>
      </w:r>
      <w:r>
        <w:rPr>
          <w:rFonts w:hint="default" w:ascii="ＭＳ ゴシック" w:hAnsi="ＭＳ ゴシック" w:eastAsia="ＭＳ ゴシック"/>
        </w:rPr>
        <w:t>（３）認知症施策の推進について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_Toc59007781 \h </w:instrText>
      </w:r>
      <w:r>
        <w:rPr>
          <w:rFonts w:hint="eastAsia"/>
        </w:rPr>
        <w:fldChar w:fldCharType="separate"/>
      </w:r>
      <w:r>
        <w:rPr>
          <w:rFonts w:hint="default" w:ascii="ＭＳ ゴシック" w:hAnsi="ＭＳ ゴシック" w:eastAsia="ＭＳ ゴシック"/>
        </w:rPr>
        <w:t>77</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"_Toc59007782"</w:instrText>
      </w:r>
      <w:r>
        <w:rPr>
          <w:rFonts w:hint="eastAsia"/>
        </w:rPr>
        <w:fldChar w:fldCharType="separate"/>
      </w:r>
      <w:r>
        <w:rPr>
          <w:rFonts w:hint="default" w:ascii="ＭＳ ゴシック" w:hAnsi="ＭＳ ゴシック" w:eastAsia="ＭＳ ゴシック"/>
        </w:rPr>
        <w:t>（４）介護予防や健康づくり施策の充実・推進について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_Toc59007782 \h </w:instrText>
      </w:r>
      <w:r>
        <w:rPr>
          <w:rFonts w:hint="eastAsia"/>
        </w:rPr>
        <w:fldChar w:fldCharType="separate"/>
      </w:r>
      <w:r>
        <w:rPr>
          <w:rFonts w:hint="default" w:ascii="ＭＳ ゴシック" w:hAnsi="ＭＳ ゴシック" w:eastAsia="ＭＳ ゴシック"/>
        </w:rPr>
        <w:t>78</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"_Toc59007783"</w:instrText>
      </w:r>
      <w:r>
        <w:rPr>
          <w:rFonts w:hint="eastAsia"/>
        </w:rPr>
        <w:fldChar w:fldCharType="separate"/>
      </w:r>
      <w:r>
        <w:rPr>
          <w:rFonts w:hint="default" w:ascii="ＭＳ ゴシック" w:hAnsi="ＭＳ ゴシック" w:eastAsia="ＭＳ ゴシック"/>
        </w:rPr>
        <w:t>（５）介護サービスの充実について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_Toc59007783 \h </w:instrText>
      </w:r>
      <w:r>
        <w:rPr>
          <w:rFonts w:hint="eastAsia"/>
        </w:rPr>
        <w:fldChar w:fldCharType="separate"/>
      </w:r>
      <w:r>
        <w:rPr>
          <w:rFonts w:hint="default" w:ascii="ＭＳ ゴシック" w:hAnsi="ＭＳ ゴシック" w:eastAsia="ＭＳ ゴシック"/>
        </w:rPr>
        <w:t>78</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"_Toc59007784"</w:instrText>
      </w:r>
      <w:r>
        <w:rPr>
          <w:rFonts w:hint="eastAsia"/>
        </w:rPr>
        <w:fldChar w:fldCharType="separate"/>
      </w:r>
      <w:r>
        <w:rPr>
          <w:rFonts w:hint="default" w:ascii="ＭＳ ゴシック" w:hAnsi="ＭＳ ゴシック" w:eastAsia="ＭＳ ゴシック"/>
        </w:rPr>
        <w:t>（６）安全、安心、快適に暮らせるまちづくりについて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_Toc59007784 \h </w:instrText>
      </w:r>
      <w:r>
        <w:rPr>
          <w:rFonts w:hint="eastAsia"/>
        </w:rPr>
        <w:fldChar w:fldCharType="separate"/>
      </w:r>
      <w:r>
        <w:rPr>
          <w:rFonts w:hint="default" w:ascii="ＭＳ ゴシック" w:hAnsi="ＭＳ ゴシック" w:eastAsia="ＭＳ ゴシック"/>
        </w:rPr>
        <w:t>79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"_Toc59007785"</w:instrText>
      </w:r>
      <w:r>
        <w:rPr>
          <w:rFonts w:hint="eastAsia"/>
        </w:rPr>
        <w:fldChar w:fldCharType="separate"/>
      </w:r>
      <w:r>
        <w:rPr>
          <w:rFonts w:hint="default" w:ascii="ＭＳ ゴシック" w:hAnsi="ＭＳ ゴシック" w:eastAsia="ＭＳ ゴシック"/>
        </w:rPr>
        <w:t>（７）権利擁護の推進について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_Toc59007785 \h </w:instrText>
      </w:r>
      <w:r>
        <w:rPr>
          <w:rFonts w:hint="eastAsia"/>
        </w:rPr>
        <w:fldChar w:fldCharType="separate"/>
      </w:r>
      <w:r>
        <w:rPr>
          <w:rFonts w:hint="default" w:ascii="ＭＳ ゴシック" w:hAnsi="ＭＳ ゴシック" w:eastAsia="ＭＳ ゴシック"/>
        </w:rPr>
        <w:t>79</w:t>
      </w:r>
      <w:r>
        <w:rPr>
          <w:rFonts w:hint="eastAsia"/>
        </w:rPr>
        <w:fldChar w:fldCharType="end"/>
      </w: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"_Toc59007786"</w:instrText>
      </w:r>
      <w:r>
        <w:rPr>
          <w:rFonts w:hint="eastAsia"/>
        </w:rPr>
        <w:fldChar w:fldCharType="separate"/>
      </w:r>
      <w:r>
        <w:rPr>
          <w:rFonts w:hint="default" w:ascii="ＭＳ ゴシック" w:hAnsi="ＭＳ ゴシック" w:eastAsia="ＭＳ ゴシック"/>
        </w:rPr>
        <w:t>第３章　計画の基本的な考え</w:t>
      </w:r>
      <w:r>
        <w:rPr>
          <w:rFonts w:hint="eastAsia" w:ascii="ＭＳ ゴシック" w:hAnsi="ＭＳ ゴシック" w:eastAsia="ＭＳ ゴシック"/>
        </w:rPr>
        <w:t>かた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_Toc59007786 \h </w:instrText>
      </w:r>
      <w:r>
        <w:rPr>
          <w:rFonts w:hint="eastAsia"/>
        </w:rPr>
        <w:fldChar w:fldCharType="separate"/>
      </w:r>
      <w:r>
        <w:rPr>
          <w:rFonts w:hint="default" w:ascii="ＭＳ ゴシック" w:hAnsi="ＭＳ ゴシック" w:eastAsia="ＭＳ ゴシック"/>
        </w:rPr>
        <w:t>80</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"_Toc59007787"</w:instrText>
      </w:r>
      <w:r>
        <w:rPr>
          <w:rFonts w:hint="eastAsia"/>
        </w:rPr>
        <w:fldChar w:fldCharType="separate"/>
      </w:r>
      <w:r>
        <w:rPr>
          <w:rFonts w:hint="default" w:ascii="ＭＳ ゴシック" w:hAnsi="ＭＳ ゴシック" w:eastAsia="ＭＳ ゴシック"/>
        </w:rPr>
        <w:t>１．計画の基本理念</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_Toc59007787 \h </w:instrText>
      </w:r>
      <w:r>
        <w:rPr>
          <w:rFonts w:hint="eastAsia"/>
        </w:rPr>
        <w:fldChar w:fldCharType="separate"/>
      </w:r>
      <w:r>
        <w:rPr>
          <w:rFonts w:hint="default" w:ascii="ＭＳ ゴシック" w:hAnsi="ＭＳ ゴシック" w:eastAsia="ＭＳ ゴシック"/>
        </w:rPr>
        <w:t>80</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"_Toc59007788"</w:instrText>
      </w:r>
      <w:r>
        <w:rPr>
          <w:rFonts w:hint="eastAsia"/>
        </w:rPr>
        <w:fldChar w:fldCharType="separate"/>
      </w:r>
      <w:r>
        <w:rPr>
          <w:rFonts w:hint="default" w:ascii="ＭＳ ゴシック" w:hAnsi="ＭＳ ゴシック" w:eastAsia="ＭＳ ゴシック"/>
        </w:rPr>
        <w:t>２．計画の基本目標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_Toc59007788 \h </w:instrText>
      </w:r>
      <w:r>
        <w:rPr>
          <w:rFonts w:hint="eastAsia"/>
        </w:rPr>
        <w:fldChar w:fldCharType="separate"/>
      </w:r>
      <w:r>
        <w:rPr>
          <w:rFonts w:hint="default" w:ascii="ＭＳ ゴシック" w:hAnsi="ＭＳ ゴシック" w:eastAsia="ＭＳ ゴシック"/>
        </w:rPr>
        <w:t>81</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"_Toc59007789"</w:instrText>
      </w:r>
      <w:r>
        <w:rPr>
          <w:rFonts w:hint="eastAsia"/>
        </w:rPr>
        <w:fldChar w:fldCharType="separate"/>
      </w:r>
      <w:r>
        <w:rPr>
          <w:rFonts w:hint="default" w:ascii="ＭＳ ゴシック" w:hAnsi="ＭＳ ゴシック" w:eastAsia="ＭＳ ゴシック"/>
        </w:rPr>
        <w:t>３．計画の重点施策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_Toc59007789 \h </w:instrText>
      </w:r>
      <w:r>
        <w:rPr>
          <w:rFonts w:hint="eastAsia"/>
        </w:rPr>
        <w:fldChar w:fldCharType="separate"/>
      </w:r>
      <w:r>
        <w:rPr>
          <w:rFonts w:hint="default" w:ascii="ＭＳ ゴシック" w:hAnsi="ＭＳ ゴシック" w:eastAsia="ＭＳ ゴシック"/>
        </w:rPr>
        <w:t>82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"_Toc59007790"</w:instrText>
      </w:r>
      <w:r>
        <w:rPr>
          <w:rFonts w:hint="eastAsia"/>
        </w:rPr>
        <w:fldChar w:fldCharType="separate"/>
      </w:r>
      <w:r>
        <w:rPr>
          <w:rFonts w:hint="default" w:ascii="ＭＳ ゴシック" w:hAnsi="ＭＳ ゴシック" w:eastAsia="ＭＳ ゴシック"/>
        </w:rPr>
        <w:t>４．計画の施策体系</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_Toc59007790 \h </w:instrText>
      </w:r>
      <w:r>
        <w:rPr>
          <w:rFonts w:hint="eastAsia"/>
        </w:rPr>
        <w:fldChar w:fldCharType="separate"/>
      </w:r>
      <w:r>
        <w:rPr>
          <w:rFonts w:hint="default" w:ascii="ＭＳ ゴシック" w:hAnsi="ＭＳ ゴシック" w:eastAsia="ＭＳ ゴシック"/>
        </w:rPr>
        <w:t>84</w:t>
      </w:r>
      <w:r>
        <w:rPr>
          <w:rFonts w:hint="eastAsia"/>
        </w:rPr>
        <w:fldChar w:fldCharType="end"/>
      </w: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"_Toc59007791"</w:instrText>
      </w:r>
      <w:r>
        <w:rPr>
          <w:rFonts w:hint="eastAsia"/>
        </w:rPr>
        <w:fldChar w:fldCharType="separate"/>
      </w:r>
      <w:r>
        <w:rPr>
          <w:rFonts w:hint="default" w:ascii="ＭＳ ゴシック" w:hAnsi="ＭＳ ゴシック" w:eastAsia="ＭＳ ゴシック"/>
        </w:rPr>
        <w:t>第４章　施策・事業の展開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_Toc59007791 \h </w:instrText>
      </w:r>
      <w:r>
        <w:rPr>
          <w:rFonts w:hint="eastAsia"/>
        </w:rPr>
        <w:fldChar w:fldCharType="separate"/>
      </w:r>
      <w:r>
        <w:rPr>
          <w:rFonts w:hint="default" w:ascii="ＭＳ ゴシック" w:hAnsi="ＭＳ ゴシック" w:eastAsia="ＭＳ ゴシック"/>
        </w:rPr>
        <w:t>85</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"_Toc59007792"</w:instrText>
      </w:r>
      <w:r>
        <w:rPr>
          <w:rFonts w:hint="eastAsia"/>
        </w:rPr>
        <w:fldChar w:fldCharType="separate"/>
      </w:r>
      <w:r>
        <w:rPr>
          <w:rFonts w:hint="default" w:ascii="ＭＳ ゴシック" w:hAnsi="ＭＳ ゴシック" w:eastAsia="ＭＳ ゴシック"/>
        </w:rPr>
        <w:t>１．健康で生きがいのある暮らしの推進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_Toc59007792 \h </w:instrText>
      </w:r>
      <w:r>
        <w:rPr>
          <w:rFonts w:hint="eastAsia"/>
        </w:rPr>
        <w:fldChar w:fldCharType="separate"/>
      </w:r>
      <w:r>
        <w:rPr>
          <w:rFonts w:hint="default" w:ascii="ＭＳ ゴシック" w:hAnsi="ＭＳ ゴシック" w:eastAsia="ＭＳ ゴシック"/>
        </w:rPr>
        <w:t>85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"_Toc59007793"</w:instrText>
      </w:r>
      <w:r>
        <w:rPr>
          <w:rFonts w:hint="eastAsia"/>
        </w:rPr>
        <w:fldChar w:fldCharType="separate"/>
      </w:r>
      <w:r>
        <w:rPr>
          <w:rFonts w:hint="default" w:ascii="ＭＳ ゴシック" w:hAnsi="ＭＳ ゴシック" w:eastAsia="ＭＳ ゴシック"/>
        </w:rPr>
        <w:t>（１）健康づくりと生活習慣病予防の推進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_Toc59007793 \h </w:instrText>
      </w:r>
      <w:r>
        <w:rPr>
          <w:rFonts w:hint="eastAsia"/>
        </w:rPr>
        <w:fldChar w:fldCharType="separate"/>
      </w:r>
      <w:r>
        <w:rPr>
          <w:rFonts w:hint="default" w:ascii="ＭＳ ゴシック" w:hAnsi="ＭＳ ゴシック" w:eastAsia="ＭＳ ゴシック"/>
        </w:rPr>
        <w:t>85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"_Toc59007794"</w:instrText>
      </w:r>
      <w:r>
        <w:rPr>
          <w:rFonts w:hint="eastAsia"/>
        </w:rPr>
        <w:fldChar w:fldCharType="separate"/>
      </w:r>
      <w:r>
        <w:rPr>
          <w:rFonts w:hint="default" w:ascii="ＭＳ ゴシック" w:hAnsi="ＭＳ ゴシック" w:eastAsia="ＭＳ ゴシック"/>
        </w:rPr>
        <w:t>（２）自立支援、介護予防・重度化防止の推進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_Toc59007794 \h </w:instrText>
      </w:r>
      <w:r>
        <w:rPr>
          <w:rFonts w:hint="eastAsia"/>
        </w:rPr>
        <w:fldChar w:fldCharType="separate"/>
      </w:r>
      <w:r>
        <w:rPr>
          <w:rFonts w:hint="default" w:ascii="ＭＳ ゴシック" w:hAnsi="ＭＳ ゴシック" w:eastAsia="ＭＳ ゴシック"/>
        </w:rPr>
        <w:t>85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"_Toc59007795"</w:instrText>
      </w:r>
      <w:r>
        <w:rPr>
          <w:rFonts w:hint="eastAsia"/>
        </w:rPr>
        <w:fldChar w:fldCharType="separate"/>
      </w:r>
      <w:r>
        <w:rPr>
          <w:rFonts w:hint="default" w:ascii="ＭＳ ゴシック" w:hAnsi="ＭＳ ゴシック" w:eastAsia="ＭＳ ゴシック"/>
        </w:rPr>
        <w:t>ア）全体へのアプローチ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_Toc59007795 \h </w:instrText>
      </w:r>
      <w:r>
        <w:rPr>
          <w:rFonts w:hint="eastAsia"/>
        </w:rPr>
        <w:fldChar w:fldCharType="separate"/>
      </w:r>
      <w:r>
        <w:rPr>
          <w:rFonts w:hint="default" w:ascii="ＭＳ ゴシック" w:hAnsi="ＭＳ ゴシック" w:eastAsia="ＭＳ ゴシック"/>
        </w:rPr>
        <w:t>85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"_Toc59007796"</w:instrText>
      </w:r>
      <w:r>
        <w:rPr>
          <w:rFonts w:hint="eastAsia"/>
        </w:rPr>
        <w:fldChar w:fldCharType="separate"/>
      </w:r>
      <w:r>
        <w:rPr>
          <w:rFonts w:hint="default" w:ascii="ＭＳ ゴシック" w:hAnsi="ＭＳ ゴシック" w:eastAsia="ＭＳ ゴシック"/>
        </w:rPr>
        <w:t>イ）外出機会や身体能力の状態に応じた対象別のアプローチ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_Toc59007796 \h </w:instrText>
      </w:r>
      <w:r>
        <w:rPr>
          <w:rFonts w:hint="eastAsia"/>
        </w:rPr>
        <w:fldChar w:fldCharType="separate"/>
      </w:r>
      <w:r>
        <w:rPr>
          <w:rFonts w:hint="default" w:ascii="ＭＳ ゴシック" w:hAnsi="ＭＳ ゴシック" w:eastAsia="ＭＳ ゴシック"/>
        </w:rPr>
        <w:t>87</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"_Toc59007797"</w:instrText>
      </w:r>
      <w:r>
        <w:rPr>
          <w:rFonts w:hint="eastAsia"/>
        </w:rPr>
        <w:fldChar w:fldCharType="separate"/>
      </w:r>
      <w:r>
        <w:rPr>
          <w:rFonts w:hint="default" w:ascii="ＭＳ ゴシック" w:hAnsi="ＭＳ ゴシック" w:eastAsia="ＭＳ ゴシック"/>
        </w:rPr>
        <w:t>ウ）健康意識や介護予防への関心の度合いに応じた段階的アプローチ</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_Toc59007797 \h </w:instrText>
      </w:r>
      <w:r>
        <w:rPr>
          <w:rFonts w:hint="eastAsia"/>
        </w:rPr>
        <w:fldChar w:fldCharType="separate"/>
      </w:r>
      <w:r>
        <w:rPr>
          <w:rFonts w:hint="default" w:ascii="ＭＳ ゴシック" w:hAnsi="ＭＳ ゴシック" w:eastAsia="ＭＳ ゴシック"/>
        </w:rPr>
        <w:t>89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"_Toc59007798"</w:instrText>
      </w:r>
      <w:r>
        <w:rPr>
          <w:rFonts w:hint="eastAsia"/>
        </w:rPr>
        <w:fldChar w:fldCharType="separate"/>
      </w:r>
      <w:r>
        <w:rPr>
          <w:rFonts w:hint="default" w:ascii="ＭＳ ゴシック" w:hAnsi="ＭＳ ゴシック" w:eastAsia="ＭＳ ゴシック"/>
        </w:rPr>
        <w:t>（３）一般介護予防事業の推進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_Toc59007798 \h </w:instrText>
      </w:r>
      <w:r>
        <w:rPr>
          <w:rFonts w:hint="eastAsia"/>
        </w:rPr>
        <w:fldChar w:fldCharType="separate"/>
      </w:r>
      <w:r>
        <w:rPr>
          <w:rFonts w:hint="default" w:ascii="ＭＳ ゴシック" w:hAnsi="ＭＳ ゴシック" w:eastAsia="ＭＳ ゴシック"/>
        </w:rPr>
        <w:t>90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"_Toc59007799"</w:instrText>
      </w:r>
      <w:r>
        <w:rPr>
          <w:rFonts w:hint="eastAsia"/>
        </w:rPr>
        <w:fldChar w:fldCharType="separate"/>
      </w:r>
      <w:r>
        <w:rPr>
          <w:rFonts w:hint="default" w:ascii="ＭＳ ゴシック" w:hAnsi="ＭＳ ゴシック" w:eastAsia="ＭＳ ゴシック"/>
        </w:rPr>
        <w:t>ア）介護予防把握事業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_Toc59007799 \h </w:instrText>
      </w:r>
      <w:r>
        <w:rPr>
          <w:rFonts w:hint="eastAsia"/>
        </w:rPr>
        <w:fldChar w:fldCharType="separate"/>
      </w:r>
      <w:r>
        <w:rPr>
          <w:rFonts w:hint="default" w:ascii="ＭＳ ゴシック" w:hAnsi="ＭＳ ゴシック" w:eastAsia="ＭＳ ゴシック"/>
        </w:rPr>
        <w:t>90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"_Toc59007800"</w:instrText>
      </w:r>
      <w:r>
        <w:rPr>
          <w:rFonts w:hint="eastAsia"/>
        </w:rPr>
        <w:fldChar w:fldCharType="separate"/>
      </w:r>
      <w:r>
        <w:rPr>
          <w:rFonts w:hint="default" w:ascii="ＭＳ ゴシック" w:hAnsi="ＭＳ ゴシック" w:eastAsia="ＭＳ ゴシック"/>
        </w:rPr>
        <w:t>イ）介護予防普及啓発事業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_Toc59007800 \h </w:instrText>
      </w:r>
      <w:r>
        <w:rPr>
          <w:rFonts w:hint="eastAsia"/>
        </w:rPr>
        <w:fldChar w:fldCharType="separate"/>
      </w:r>
      <w:r>
        <w:rPr>
          <w:rFonts w:hint="default" w:ascii="ＭＳ ゴシック" w:hAnsi="ＭＳ ゴシック" w:eastAsia="ＭＳ ゴシック"/>
        </w:rPr>
        <w:t>90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"_Toc59007801"</w:instrText>
      </w:r>
      <w:r>
        <w:rPr>
          <w:rFonts w:hint="eastAsia"/>
        </w:rPr>
        <w:fldChar w:fldCharType="separate"/>
      </w:r>
      <w:r>
        <w:rPr>
          <w:rFonts w:hint="default" w:ascii="ＭＳ ゴシック" w:hAnsi="ＭＳ ゴシック" w:eastAsia="ＭＳ ゴシック"/>
        </w:rPr>
        <w:t>ウ）地域介護予防活動支援事業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_Toc59007801 \h </w:instrText>
      </w:r>
      <w:r>
        <w:rPr>
          <w:rFonts w:hint="eastAsia"/>
        </w:rPr>
        <w:fldChar w:fldCharType="separate"/>
      </w:r>
      <w:r>
        <w:rPr>
          <w:rFonts w:hint="default" w:ascii="ＭＳ ゴシック" w:hAnsi="ＭＳ ゴシック" w:eastAsia="ＭＳ ゴシック"/>
        </w:rPr>
        <w:t>90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"_Toc59007802"</w:instrText>
      </w:r>
      <w:r>
        <w:rPr>
          <w:rFonts w:hint="eastAsia"/>
        </w:rPr>
        <w:fldChar w:fldCharType="separate"/>
      </w:r>
      <w:r>
        <w:rPr>
          <w:rFonts w:hint="default" w:ascii="ＭＳ ゴシック" w:hAnsi="ＭＳ ゴシック" w:eastAsia="ＭＳ ゴシック"/>
        </w:rPr>
        <w:t>エ）一般介護予防事業評価事業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_Toc59007802 \h </w:instrText>
      </w:r>
      <w:r>
        <w:rPr>
          <w:rFonts w:hint="eastAsia"/>
        </w:rPr>
        <w:fldChar w:fldCharType="separate"/>
      </w:r>
      <w:r>
        <w:rPr>
          <w:rFonts w:hint="default" w:ascii="ＭＳ ゴシック" w:hAnsi="ＭＳ ゴシック" w:eastAsia="ＭＳ ゴシック"/>
        </w:rPr>
        <w:t>91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rPr>
      </w:pPr>
      <w:r>
        <w:rPr>
          <w:rFonts w:hint="eastAsia"/>
        </w:rPr>
        <w:fldChar w:fldCharType="begin"/>
      </w:r>
      <w:r>
        <w:rPr>
          <w:rFonts w:hint="eastAsia"/>
        </w:rPr>
        <w:instrText xml:space="preserve"> HYPERLINK  \l "_Toc59007803"</w:instrText>
      </w:r>
      <w:r>
        <w:rPr>
          <w:rFonts w:hint="eastAsia"/>
        </w:rPr>
        <w:fldChar w:fldCharType="separate"/>
      </w:r>
      <w:r>
        <w:rPr>
          <w:rFonts w:hint="default" w:ascii="ＭＳ ゴシック" w:hAnsi="ＭＳ ゴシック" w:eastAsia="ＭＳ ゴシック"/>
        </w:rPr>
        <w:t>オ）地域リハビリテーション活動支援事業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_Toc59007803 \h </w:instrText>
      </w:r>
      <w:r>
        <w:rPr>
          <w:rFonts w:hint="eastAsia"/>
        </w:rPr>
        <w:fldChar w:fldCharType="separate"/>
      </w:r>
      <w:r>
        <w:rPr>
          <w:rFonts w:hint="default" w:ascii="ＭＳ ゴシック" w:hAnsi="ＭＳ ゴシック" w:eastAsia="ＭＳ ゴシック"/>
        </w:rPr>
        <w:t>91</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"_Toc59007804"</w:instrText>
      </w:r>
      <w:r>
        <w:rPr>
          <w:rFonts w:hint="eastAsia"/>
        </w:rPr>
        <w:fldChar w:fldCharType="separate"/>
      </w:r>
      <w:r>
        <w:rPr>
          <w:rFonts w:hint="default" w:ascii="ＭＳ ゴシック" w:hAnsi="ＭＳ ゴシック" w:eastAsia="ＭＳ ゴシック"/>
        </w:rPr>
        <w:t>（４）生きがい支援の充実、社会参加・参画の促進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_Toc59007804 \h </w:instrText>
      </w:r>
      <w:r>
        <w:rPr>
          <w:rFonts w:hint="eastAsia"/>
        </w:rPr>
        <w:fldChar w:fldCharType="separate"/>
      </w:r>
      <w:r>
        <w:rPr>
          <w:rFonts w:hint="default" w:ascii="ＭＳ ゴシック" w:hAnsi="ＭＳ ゴシック" w:eastAsia="ＭＳ ゴシック"/>
        </w:rPr>
        <w:t>92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"_Toc59007805"</w:instrText>
      </w:r>
      <w:r>
        <w:rPr>
          <w:rFonts w:hint="eastAsia"/>
        </w:rPr>
        <w:fldChar w:fldCharType="separate"/>
      </w:r>
      <w:r>
        <w:rPr>
          <w:rFonts w:hint="default" w:ascii="ＭＳ ゴシック" w:hAnsi="ＭＳ ゴシック" w:eastAsia="ＭＳ ゴシック"/>
        </w:rPr>
        <w:t>ア）生涯学習・スポーツの振興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_Toc59007805 \h </w:instrText>
      </w:r>
      <w:r>
        <w:rPr>
          <w:rFonts w:hint="eastAsia"/>
        </w:rPr>
        <w:fldChar w:fldCharType="separate"/>
      </w:r>
      <w:r>
        <w:rPr>
          <w:rFonts w:hint="default" w:ascii="ＭＳ ゴシック" w:hAnsi="ＭＳ ゴシック" w:eastAsia="ＭＳ ゴシック"/>
        </w:rPr>
        <w:t>92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"_Toc59007806"</w:instrText>
      </w:r>
      <w:r>
        <w:rPr>
          <w:rFonts w:hint="eastAsia"/>
        </w:rPr>
        <w:fldChar w:fldCharType="separate"/>
      </w:r>
      <w:r>
        <w:rPr>
          <w:rFonts w:hint="default" w:ascii="ＭＳ ゴシック" w:hAnsi="ＭＳ ゴシック" w:eastAsia="ＭＳ ゴシック"/>
        </w:rPr>
        <w:t>イ）シニアクラブ活動の支援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_Toc59007806 \h </w:instrText>
      </w:r>
      <w:r>
        <w:rPr>
          <w:rFonts w:hint="eastAsia"/>
        </w:rPr>
        <w:fldChar w:fldCharType="separate"/>
      </w:r>
      <w:r>
        <w:rPr>
          <w:rFonts w:hint="default" w:ascii="ＭＳ ゴシック" w:hAnsi="ＭＳ ゴシック" w:eastAsia="ＭＳ ゴシック"/>
        </w:rPr>
        <w:t>92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"_Toc59007807"</w:instrText>
      </w:r>
      <w:r>
        <w:rPr>
          <w:rFonts w:hint="eastAsia"/>
        </w:rPr>
        <w:fldChar w:fldCharType="separate"/>
      </w:r>
      <w:r>
        <w:rPr>
          <w:rFonts w:hint="default" w:ascii="ＭＳ ゴシック" w:hAnsi="ＭＳ ゴシック" w:eastAsia="ＭＳ ゴシック"/>
        </w:rPr>
        <w:t>ウ）高齢者の交流・活動拠点の運営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_Toc59007807 \h </w:instrText>
      </w:r>
      <w:r>
        <w:rPr>
          <w:rFonts w:hint="eastAsia"/>
        </w:rPr>
        <w:fldChar w:fldCharType="separate"/>
      </w:r>
      <w:r>
        <w:rPr>
          <w:rFonts w:hint="default" w:ascii="ＭＳ ゴシック" w:hAnsi="ＭＳ ゴシック" w:eastAsia="ＭＳ ゴシック"/>
        </w:rPr>
        <w:t>92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"_Toc59007808"</w:instrText>
      </w:r>
      <w:r>
        <w:rPr>
          <w:rFonts w:hint="eastAsia"/>
        </w:rPr>
        <w:fldChar w:fldCharType="separate"/>
      </w:r>
      <w:r>
        <w:rPr>
          <w:rFonts w:hint="default" w:ascii="ＭＳ ゴシック" w:hAnsi="ＭＳ ゴシック" w:eastAsia="ＭＳ ゴシック"/>
        </w:rPr>
        <w:t>エ）高齢者の就労支援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_Toc59007808 \h </w:instrText>
      </w:r>
      <w:r>
        <w:rPr>
          <w:rFonts w:hint="eastAsia"/>
        </w:rPr>
        <w:fldChar w:fldCharType="separate"/>
      </w:r>
      <w:r>
        <w:rPr>
          <w:rFonts w:hint="default" w:ascii="ＭＳ ゴシック" w:hAnsi="ＭＳ ゴシック" w:eastAsia="ＭＳ ゴシック"/>
        </w:rPr>
        <w:t>94</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"_Toc59007809"</w:instrText>
      </w:r>
      <w:r>
        <w:rPr>
          <w:rFonts w:hint="eastAsia"/>
        </w:rPr>
        <w:fldChar w:fldCharType="separate"/>
      </w:r>
      <w:r>
        <w:rPr>
          <w:rFonts w:hint="default" w:ascii="ＭＳ ゴシック" w:hAnsi="ＭＳ ゴシック" w:eastAsia="ＭＳ ゴシック"/>
        </w:rPr>
        <w:t>オ）ＮＰＯ・ボランティア活動の支援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_Toc59007809 \h </w:instrText>
      </w:r>
      <w:r>
        <w:rPr>
          <w:rFonts w:hint="eastAsia"/>
        </w:rPr>
        <w:fldChar w:fldCharType="separate"/>
      </w:r>
      <w:r>
        <w:rPr>
          <w:rFonts w:hint="default" w:ascii="ＭＳ ゴシック" w:hAnsi="ＭＳ ゴシック" w:eastAsia="ＭＳ ゴシック"/>
        </w:rPr>
        <w:t>94</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"_Toc59007810"</w:instrText>
      </w:r>
      <w:r>
        <w:rPr>
          <w:rFonts w:hint="eastAsia"/>
        </w:rPr>
        <w:fldChar w:fldCharType="separate"/>
      </w:r>
      <w:r>
        <w:rPr>
          <w:rFonts w:hint="default" w:ascii="ＭＳ ゴシック" w:hAnsi="ＭＳ ゴシック" w:eastAsia="ＭＳ ゴシック"/>
        </w:rPr>
        <w:t>カ）敬老施策の実施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_Toc59007810 \h </w:instrText>
      </w:r>
      <w:r>
        <w:rPr>
          <w:rFonts w:hint="eastAsia"/>
        </w:rPr>
        <w:fldChar w:fldCharType="separate"/>
      </w:r>
      <w:r>
        <w:rPr>
          <w:rFonts w:hint="default" w:ascii="ＭＳ ゴシック" w:hAnsi="ＭＳ ゴシック" w:eastAsia="ＭＳ ゴシック"/>
        </w:rPr>
        <w:t>94</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"_Toc59007811"</w:instrText>
      </w:r>
      <w:r>
        <w:rPr>
          <w:rFonts w:hint="eastAsia"/>
        </w:rPr>
        <w:fldChar w:fldCharType="separate"/>
      </w:r>
      <w:r>
        <w:rPr>
          <w:rFonts w:hint="default" w:ascii="ＭＳ ゴシック" w:hAnsi="ＭＳ ゴシック" w:eastAsia="ＭＳ ゴシック"/>
        </w:rPr>
        <w:t>２．地域包括ケアシステムの推進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_Toc59007811 \h </w:instrText>
      </w:r>
      <w:r>
        <w:rPr>
          <w:rFonts w:hint="eastAsia"/>
        </w:rPr>
        <w:fldChar w:fldCharType="separate"/>
      </w:r>
      <w:r>
        <w:rPr>
          <w:rFonts w:hint="default" w:ascii="ＭＳ ゴシック" w:hAnsi="ＭＳ ゴシック" w:eastAsia="ＭＳ ゴシック"/>
        </w:rPr>
        <w:t>95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"_Toc59007812"</w:instrText>
      </w:r>
      <w:r>
        <w:rPr>
          <w:rFonts w:hint="eastAsia"/>
        </w:rPr>
        <w:fldChar w:fldCharType="separate"/>
      </w:r>
      <w:r>
        <w:rPr>
          <w:rFonts w:hint="default" w:ascii="ＭＳ ゴシック" w:hAnsi="ＭＳ ゴシック" w:eastAsia="ＭＳ ゴシック"/>
        </w:rPr>
        <w:t>（１）地域共生社会と地域包括ケアシステムの関係性</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_Toc59007812 \h </w:instrText>
      </w:r>
      <w:r>
        <w:rPr>
          <w:rFonts w:hint="eastAsia"/>
        </w:rPr>
        <w:fldChar w:fldCharType="separate"/>
      </w:r>
      <w:r>
        <w:rPr>
          <w:rFonts w:hint="default" w:ascii="ＭＳ ゴシック" w:hAnsi="ＭＳ ゴシック" w:eastAsia="ＭＳ ゴシック"/>
        </w:rPr>
        <w:t>98</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"_Toc59007813"</w:instrText>
      </w:r>
      <w:r>
        <w:rPr>
          <w:rFonts w:hint="eastAsia"/>
        </w:rPr>
        <w:fldChar w:fldCharType="separate"/>
      </w:r>
      <w:r>
        <w:rPr>
          <w:rFonts w:hint="default" w:ascii="ＭＳ ゴシック" w:hAnsi="ＭＳ ゴシック" w:eastAsia="ＭＳ ゴシック"/>
        </w:rPr>
        <w:t>（２）地域包括支援センターの機能・体制強化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_Toc59007813 \h </w:instrText>
      </w:r>
      <w:r>
        <w:rPr>
          <w:rFonts w:hint="eastAsia"/>
        </w:rPr>
        <w:fldChar w:fldCharType="separate"/>
      </w:r>
      <w:r>
        <w:rPr>
          <w:rFonts w:hint="default" w:ascii="ＭＳ ゴシック" w:hAnsi="ＭＳ ゴシック" w:eastAsia="ＭＳ ゴシック"/>
        </w:rPr>
        <w:t>98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"_Toc59007814"</w:instrText>
      </w:r>
      <w:r>
        <w:rPr>
          <w:rFonts w:hint="eastAsia"/>
        </w:rPr>
        <w:fldChar w:fldCharType="separate"/>
      </w:r>
      <w:r>
        <w:rPr>
          <w:rFonts w:hint="default" w:ascii="ＭＳ ゴシック" w:hAnsi="ＭＳ ゴシック" w:eastAsia="ＭＳ ゴシック"/>
        </w:rPr>
        <w:t>ア）基幹型・機能強化型・従来型地域包括支援センターの設置</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_Toc59007814 \h </w:instrText>
      </w:r>
      <w:r>
        <w:rPr>
          <w:rFonts w:hint="eastAsia"/>
        </w:rPr>
        <w:fldChar w:fldCharType="separate"/>
      </w:r>
      <w:r>
        <w:rPr>
          <w:rFonts w:hint="default" w:ascii="ＭＳ ゴシック" w:hAnsi="ＭＳ ゴシック" w:eastAsia="ＭＳ ゴシック"/>
        </w:rPr>
        <w:t>98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"_Toc59007815"</w:instrText>
      </w:r>
      <w:r>
        <w:rPr>
          <w:rFonts w:hint="eastAsia"/>
        </w:rPr>
        <w:fldChar w:fldCharType="separate"/>
      </w:r>
      <w:r>
        <w:rPr>
          <w:rFonts w:hint="default" w:ascii="ＭＳ ゴシック" w:hAnsi="ＭＳ ゴシック" w:eastAsia="ＭＳ ゴシック"/>
        </w:rPr>
        <w:t>イ）地域包括支援センターの適切な運営及び評価並びに体制の強化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_Toc59007815 \h </w:instrText>
      </w:r>
      <w:r>
        <w:rPr>
          <w:rFonts w:hint="eastAsia"/>
        </w:rPr>
        <w:fldChar w:fldCharType="separate"/>
      </w:r>
      <w:r>
        <w:rPr>
          <w:rFonts w:hint="default" w:ascii="ＭＳ ゴシック" w:hAnsi="ＭＳ ゴシック" w:eastAsia="ＭＳ ゴシック"/>
        </w:rPr>
        <w:t>99</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"_Toc59007816"</w:instrText>
      </w:r>
      <w:r>
        <w:rPr>
          <w:rFonts w:hint="eastAsia"/>
        </w:rPr>
        <w:fldChar w:fldCharType="separate"/>
      </w:r>
      <w:r>
        <w:rPr>
          <w:rFonts w:hint="default" w:ascii="ＭＳ ゴシック" w:hAnsi="ＭＳ ゴシック" w:eastAsia="ＭＳ ゴシック"/>
        </w:rPr>
        <w:t>ウ）地域包括支援センター職員の人材育成</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_Toc59007816 \h </w:instrText>
      </w:r>
      <w:r>
        <w:rPr>
          <w:rFonts w:hint="eastAsia"/>
        </w:rPr>
        <w:fldChar w:fldCharType="separate"/>
      </w:r>
      <w:r>
        <w:rPr>
          <w:rFonts w:hint="default" w:ascii="ＭＳ ゴシック" w:hAnsi="ＭＳ ゴシック" w:eastAsia="ＭＳ ゴシック"/>
        </w:rPr>
        <w:t>99</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"_Toc59007817"</w:instrText>
      </w:r>
      <w:r>
        <w:rPr>
          <w:rFonts w:hint="eastAsia"/>
        </w:rPr>
        <w:fldChar w:fldCharType="separate"/>
      </w:r>
      <w:r>
        <w:rPr>
          <w:rFonts w:hint="default" w:ascii="ＭＳ ゴシック" w:hAnsi="ＭＳ ゴシック" w:eastAsia="ＭＳ ゴシック"/>
        </w:rPr>
        <w:t>エ）地域ケア会議の充実に向けた内容や機能の明確化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_Toc59007817 \h </w:instrText>
      </w:r>
      <w:r>
        <w:rPr>
          <w:rFonts w:hint="eastAsia"/>
        </w:rPr>
        <w:fldChar w:fldCharType="separate"/>
      </w:r>
      <w:r>
        <w:rPr>
          <w:rFonts w:hint="default" w:ascii="ＭＳ ゴシック" w:hAnsi="ＭＳ ゴシック" w:eastAsia="ＭＳ ゴシック"/>
        </w:rPr>
        <w:t>99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"_Toc59007818"</w:instrText>
      </w:r>
      <w:r>
        <w:rPr>
          <w:rFonts w:hint="eastAsia"/>
        </w:rPr>
        <w:fldChar w:fldCharType="separate"/>
      </w:r>
      <w:r>
        <w:rPr>
          <w:rFonts w:hint="default" w:ascii="ＭＳ ゴシック" w:hAnsi="ＭＳ ゴシック" w:eastAsia="ＭＳ ゴシック"/>
        </w:rPr>
        <w:t>（３）総合事業の推進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_Toc59007818 \h </w:instrText>
      </w:r>
      <w:r>
        <w:rPr>
          <w:rFonts w:hint="eastAsia"/>
        </w:rPr>
        <w:fldChar w:fldCharType="separate"/>
      </w:r>
      <w:r>
        <w:rPr>
          <w:rFonts w:hint="default" w:ascii="ＭＳ ゴシック" w:hAnsi="ＭＳ ゴシック" w:eastAsia="ＭＳ ゴシック"/>
        </w:rPr>
        <w:t>104</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"_Toc59007819"</w:instrText>
      </w:r>
      <w:r>
        <w:rPr>
          <w:rFonts w:hint="eastAsia"/>
        </w:rPr>
        <w:fldChar w:fldCharType="separate"/>
      </w:r>
      <w:r>
        <w:rPr>
          <w:rFonts w:hint="default" w:ascii="ＭＳ ゴシック" w:hAnsi="ＭＳ ゴシック" w:eastAsia="ＭＳ ゴシック"/>
        </w:rPr>
        <w:t>ア）総合事業の実施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_Toc59007819 \h </w:instrText>
      </w:r>
      <w:r>
        <w:rPr>
          <w:rFonts w:hint="eastAsia"/>
        </w:rPr>
        <w:fldChar w:fldCharType="separate"/>
      </w:r>
      <w:r>
        <w:rPr>
          <w:rFonts w:hint="default" w:ascii="ＭＳ ゴシック" w:hAnsi="ＭＳ ゴシック" w:eastAsia="ＭＳ ゴシック"/>
        </w:rPr>
        <w:t>104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"_Toc59007820"</w:instrText>
      </w:r>
      <w:r>
        <w:rPr>
          <w:rFonts w:hint="eastAsia"/>
        </w:rPr>
        <w:fldChar w:fldCharType="separate"/>
      </w:r>
      <w:r>
        <w:rPr>
          <w:rFonts w:hint="default" w:ascii="ＭＳ ゴシック" w:hAnsi="ＭＳ ゴシック" w:eastAsia="ＭＳ ゴシック"/>
        </w:rPr>
        <w:t>（４）生活支援体制整備の推進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_Toc59007820 \h </w:instrText>
      </w:r>
      <w:r>
        <w:rPr>
          <w:rFonts w:hint="eastAsia"/>
        </w:rPr>
        <w:fldChar w:fldCharType="separate"/>
      </w:r>
      <w:r>
        <w:rPr>
          <w:rFonts w:hint="default" w:ascii="ＭＳ ゴシック" w:hAnsi="ＭＳ ゴシック" w:eastAsia="ＭＳ ゴシック"/>
        </w:rPr>
        <w:t>106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"_Toc59007821"</w:instrText>
      </w:r>
      <w:r>
        <w:rPr>
          <w:rFonts w:hint="eastAsia"/>
        </w:rPr>
        <w:fldChar w:fldCharType="separate"/>
      </w:r>
      <w:r>
        <w:rPr>
          <w:rFonts w:hint="default" w:ascii="ＭＳ ゴシック" w:hAnsi="ＭＳ ゴシック" w:eastAsia="ＭＳ ゴシック"/>
        </w:rPr>
        <w:t>ア）生活支援コーディネート機能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_Toc59007821 \h </w:instrText>
      </w:r>
      <w:r>
        <w:rPr>
          <w:rFonts w:hint="eastAsia"/>
        </w:rPr>
        <w:fldChar w:fldCharType="separate"/>
      </w:r>
      <w:r>
        <w:rPr>
          <w:rFonts w:hint="default" w:ascii="ＭＳ ゴシック" w:hAnsi="ＭＳ ゴシック" w:eastAsia="ＭＳ ゴシック"/>
        </w:rPr>
        <w:t>106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"_Toc59007822"</w:instrText>
      </w:r>
      <w:r>
        <w:rPr>
          <w:rFonts w:hint="eastAsia"/>
        </w:rPr>
        <w:fldChar w:fldCharType="separate"/>
      </w:r>
      <w:r>
        <w:rPr>
          <w:rFonts w:hint="default" w:ascii="ＭＳ ゴシック" w:hAnsi="ＭＳ ゴシック" w:eastAsia="ＭＳ ゴシック"/>
        </w:rPr>
        <w:t>イ）日常生活支援の推進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_Toc59007822 \h </w:instrText>
      </w:r>
      <w:r>
        <w:rPr>
          <w:rFonts w:hint="eastAsia"/>
        </w:rPr>
        <w:fldChar w:fldCharType="separate"/>
      </w:r>
      <w:r>
        <w:rPr>
          <w:rFonts w:hint="default" w:ascii="ＭＳ ゴシック" w:hAnsi="ＭＳ ゴシック" w:eastAsia="ＭＳ ゴシック"/>
        </w:rPr>
        <w:t>107</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"_Toc59007823"</w:instrText>
      </w:r>
      <w:r>
        <w:rPr>
          <w:rFonts w:hint="eastAsia"/>
        </w:rPr>
        <w:fldChar w:fldCharType="separate"/>
      </w:r>
      <w:r>
        <w:rPr>
          <w:rFonts w:hint="default" w:ascii="ＭＳ ゴシック" w:hAnsi="ＭＳ ゴシック" w:eastAsia="ＭＳ ゴシック"/>
        </w:rPr>
        <w:t>ウ）地域支え合い体制の整備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_Toc59007823 \h </w:instrText>
      </w:r>
      <w:r>
        <w:rPr>
          <w:rFonts w:hint="eastAsia"/>
        </w:rPr>
        <w:fldChar w:fldCharType="separate"/>
      </w:r>
      <w:r>
        <w:rPr>
          <w:rFonts w:hint="default" w:ascii="ＭＳ ゴシック" w:hAnsi="ＭＳ ゴシック" w:eastAsia="ＭＳ ゴシック"/>
        </w:rPr>
        <w:t>108</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"_Toc59007824"</w:instrText>
      </w:r>
      <w:r>
        <w:rPr>
          <w:rFonts w:hint="eastAsia"/>
        </w:rPr>
        <w:fldChar w:fldCharType="separate"/>
      </w:r>
      <w:r>
        <w:rPr>
          <w:rFonts w:hint="default" w:ascii="ＭＳ ゴシック" w:hAnsi="ＭＳ ゴシック" w:eastAsia="ＭＳ ゴシック"/>
        </w:rPr>
        <w:t>（５）在宅医療と介護の連携強化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_Toc59007824 \h </w:instrText>
      </w:r>
      <w:r>
        <w:rPr>
          <w:rFonts w:hint="eastAsia"/>
        </w:rPr>
        <w:fldChar w:fldCharType="separate"/>
      </w:r>
      <w:r>
        <w:rPr>
          <w:rFonts w:hint="default" w:ascii="ＭＳ ゴシック" w:hAnsi="ＭＳ ゴシック" w:eastAsia="ＭＳ ゴシック"/>
        </w:rPr>
        <w:t>110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"_Toc59007825"</w:instrText>
      </w:r>
      <w:r>
        <w:rPr>
          <w:rFonts w:hint="eastAsia"/>
        </w:rPr>
        <w:fldChar w:fldCharType="separate"/>
      </w:r>
      <w:r>
        <w:rPr>
          <w:rFonts w:hint="default" w:ascii="ＭＳ ゴシック" w:hAnsi="ＭＳ ゴシック" w:eastAsia="ＭＳ ゴシック"/>
        </w:rPr>
        <w:t>ア）在宅医療・介護連携推進事業の推進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_Toc59007825 \h </w:instrText>
      </w:r>
      <w:r>
        <w:rPr>
          <w:rFonts w:hint="eastAsia"/>
        </w:rPr>
        <w:fldChar w:fldCharType="separate"/>
      </w:r>
      <w:r>
        <w:rPr>
          <w:rFonts w:hint="default" w:ascii="ＭＳ ゴシック" w:hAnsi="ＭＳ ゴシック" w:eastAsia="ＭＳ ゴシック"/>
        </w:rPr>
        <w:t>110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"_Toc59007826"</w:instrText>
      </w:r>
      <w:r>
        <w:rPr>
          <w:rFonts w:hint="eastAsia"/>
        </w:rPr>
        <w:fldChar w:fldCharType="separate"/>
      </w:r>
      <w:r>
        <w:rPr>
          <w:rFonts w:hint="default" w:ascii="ＭＳ ゴシック" w:hAnsi="ＭＳ ゴシック" w:eastAsia="ＭＳ ゴシック"/>
        </w:rPr>
        <w:t>イ）在宅医療コーディネート機能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_Toc59007826 \h </w:instrText>
      </w:r>
      <w:r>
        <w:rPr>
          <w:rFonts w:hint="eastAsia"/>
        </w:rPr>
        <w:fldChar w:fldCharType="separate"/>
      </w:r>
      <w:r>
        <w:rPr>
          <w:rFonts w:hint="default" w:ascii="ＭＳ ゴシック" w:hAnsi="ＭＳ ゴシック" w:eastAsia="ＭＳ ゴシック"/>
        </w:rPr>
        <w:t>111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"_Toc59007827"</w:instrText>
      </w:r>
      <w:r>
        <w:rPr>
          <w:rFonts w:hint="eastAsia"/>
        </w:rPr>
        <w:fldChar w:fldCharType="separate"/>
      </w:r>
      <w:r>
        <w:rPr>
          <w:rFonts w:hint="default" w:ascii="ＭＳ ゴシック" w:hAnsi="ＭＳ ゴシック" w:eastAsia="ＭＳ ゴシック"/>
        </w:rPr>
        <w:t>ウ）人生の最終段階における医療・ケアの意思決定のあり</w:t>
      </w:r>
      <w:r>
        <w:rPr>
          <w:rFonts w:hint="eastAsia" w:ascii="ＭＳ ゴシック" w:hAnsi="ＭＳ ゴシック" w:eastAsia="ＭＳ ゴシック"/>
        </w:rPr>
        <w:t>かた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_Toc59007827 \h </w:instrText>
      </w:r>
      <w:r>
        <w:rPr>
          <w:rFonts w:hint="eastAsia"/>
        </w:rPr>
        <w:fldChar w:fldCharType="separate"/>
      </w:r>
      <w:r>
        <w:rPr>
          <w:rFonts w:hint="default" w:ascii="ＭＳ ゴシック" w:hAnsi="ＭＳ ゴシック" w:eastAsia="ＭＳ ゴシック"/>
        </w:rPr>
        <w:t>111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"_Toc59007828"</w:instrText>
      </w:r>
      <w:r>
        <w:rPr>
          <w:rFonts w:hint="eastAsia"/>
        </w:rPr>
        <w:fldChar w:fldCharType="separate"/>
      </w:r>
      <w:r>
        <w:rPr>
          <w:rFonts w:hint="default" w:ascii="ＭＳ ゴシック" w:hAnsi="ＭＳ ゴシック" w:eastAsia="ＭＳ ゴシック"/>
        </w:rPr>
        <w:t>エ）医療計画との整合性</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_Toc59007828 \h </w:instrText>
      </w:r>
      <w:r>
        <w:rPr>
          <w:rFonts w:hint="eastAsia"/>
        </w:rPr>
        <w:fldChar w:fldCharType="separate"/>
      </w:r>
      <w:r>
        <w:rPr>
          <w:rFonts w:hint="default" w:ascii="ＭＳ ゴシック" w:hAnsi="ＭＳ ゴシック" w:eastAsia="ＭＳ ゴシック"/>
        </w:rPr>
        <w:t>111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"_Toc59007829"</w:instrText>
      </w:r>
      <w:r>
        <w:rPr>
          <w:rFonts w:hint="eastAsia"/>
        </w:rPr>
        <w:fldChar w:fldCharType="separate"/>
      </w:r>
      <w:r>
        <w:rPr>
          <w:rFonts w:hint="default" w:ascii="ＭＳ ゴシック" w:hAnsi="ＭＳ ゴシック" w:eastAsia="ＭＳ ゴシック"/>
        </w:rPr>
        <w:t>オ）かかりつけ医等の普及・啓発</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_Toc59007829 \h </w:instrText>
      </w:r>
      <w:r>
        <w:rPr>
          <w:rFonts w:hint="eastAsia"/>
        </w:rPr>
        <w:fldChar w:fldCharType="separate"/>
      </w:r>
      <w:r>
        <w:rPr>
          <w:rFonts w:hint="default" w:ascii="ＭＳ ゴシック" w:hAnsi="ＭＳ ゴシック" w:eastAsia="ＭＳ ゴシック"/>
        </w:rPr>
        <w:t>111</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"_Toc59007830"</w:instrText>
      </w:r>
      <w:r>
        <w:rPr>
          <w:rFonts w:hint="eastAsia"/>
        </w:rPr>
        <w:fldChar w:fldCharType="separate"/>
      </w:r>
      <w:r>
        <w:rPr>
          <w:rFonts w:hint="default" w:ascii="ＭＳ ゴシック" w:hAnsi="ＭＳ ゴシック" w:eastAsia="ＭＳ ゴシック"/>
        </w:rPr>
        <w:t>（６）権利擁護の推進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_Toc59007830 \h </w:instrText>
      </w:r>
      <w:r>
        <w:rPr>
          <w:rFonts w:hint="eastAsia"/>
        </w:rPr>
        <w:fldChar w:fldCharType="separate"/>
      </w:r>
      <w:r>
        <w:rPr>
          <w:rFonts w:hint="default" w:ascii="ＭＳ ゴシック" w:hAnsi="ＭＳ ゴシック" w:eastAsia="ＭＳ ゴシック"/>
        </w:rPr>
        <w:t>112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"_Toc59007831"</w:instrText>
      </w:r>
      <w:r>
        <w:rPr>
          <w:rFonts w:hint="eastAsia"/>
        </w:rPr>
        <w:fldChar w:fldCharType="separate"/>
      </w:r>
      <w:r>
        <w:rPr>
          <w:rFonts w:hint="default" w:ascii="ＭＳ ゴシック" w:hAnsi="ＭＳ ゴシック" w:eastAsia="ＭＳ ゴシック"/>
        </w:rPr>
        <w:t>ア）高齢者虐待防止策の推進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_Toc59007831 \h </w:instrText>
      </w:r>
      <w:r>
        <w:rPr>
          <w:rFonts w:hint="eastAsia"/>
        </w:rPr>
        <w:fldChar w:fldCharType="separate"/>
      </w:r>
      <w:r>
        <w:rPr>
          <w:rFonts w:hint="default" w:ascii="ＭＳ ゴシック" w:hAnsi="ＭＳ ゴシック" w:eastAsia="ＭＳ ゴシック"/>
        </w:rPr>
        <w:t>112</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"_Toc59007832"</w:instrText>
      </w:r>
      <w:r>
        <w:rPr>
          <w:rFonts w:hint="eastAsia"/>
        </w:rPr>
        <w:fldChar w:fldCharType="separate"/>
      </w:r>
      <w:r>
        <w:rPr>
          <w:rFonts w:hint="default" w:ascii="ＭＳ ゴシック" w:hAnsi="ＭＳ ゴシック" w:eastAsia="ＭＳ ゴシック"/>
        </w:rPr>
        <w:t>イ）権利擁護の取組の充実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_Toc59007832 \h </w:instrText>
      </w:r>
      <w:r>
        <w:rPr>
          <w:rFonts w:hint="eastAsia"/>
        </w:rPr>
        <w:fldChar w:fldCharType="separate"/>
      </w:r>
      <w:r>
        <w:rPr>
          <w:rFonts w:hint="default" w:ascii="ＭＳ ゴシック" w:hAnsi="ＭＳ ゴシック" w:eastAsia="ＭＳ ゴシック"/>
        </w:rPr>
        <w:t>113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"_Toc59007833"</w:instrText>
      </w:r>
      <w:r>
        <w:rPr>
          <w:rFonts w:hint="eastAsia"/>
        </w:rPr>
        <w:fldChar w:fldCharType="separate"/>
      </w:r>
      <w:r>
        <w:rPr>
          <w:rFonts w:hint="default" w:ascii="ＭＳ ゴシック" w:hAnsi="ＭＳ ゴシック" w:eastAsia="ＭＳ ゴシック"/>
        </w:rPr>
        <w:t>３．認知症高齢者支援策の充実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_Toc59007833 \h </w:instrText>
      </w:r>
      <w:r>
        <w:rPr>
          <w:rFonts w:hint="eastAsia"/>
        </w:rPr>
        <w:fldChar w:fldCharType="separate"/>
      </w:r>
      <w:r>
        <w:rPr>
          <w:rFonts w:hint="default" w:ascii="ＭＳ ゴシック" w:hAnsi="ＭＳ ゴシック" w:eastAsia="ＭＳ ゴシック"/>
        </w:rPr>
        <w:t>115</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"_Toc59007834"</w:instrText>
      </w:r>
      <w:r>
        <w:rPr>
          <w:rFonts w:hint="eastAsia"/>
        </w:rPr>
        <w:fldChar w:fldCharType="separate"/>
      </w:r>
      <w:r>
        <w:rPr>
          <w:rFonts w:hint="default" w:ascii="ＭＳ ゴシック" w:hAnsi="ＭＳ ゴシック" w:eastAsia="ＭＳ ゴシック"/>
        </w:rPr>
        <w:t>（１）認知症予防と啓発の推進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_Toc59007834 \h </w:instrText>
      </w:r>
      <w:r>
        <w:rPr>
          <w:rFonts w:hint="eastAsia"/>
        </w:rPr>
        <w:fldChar w:fldCharType="separate"/>
      </w:r>
      <w:r>
        <w:rPr>
          <w:rFonts w:hint="default" w:ascii="ＭＳ ゴシック" w:hAnsi="ＭＳ ゴシック" w:eastAsia="ＭＳ ゴシック"/>
        </w:rPr>
        <w:t>115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"_Toc59007835"</w:instrText>
      </w:r>
      <w:r>
        <w:rPr>
          <w:rFonts w:hint="eastAsia"/>
        </w:rPr>
        <w:fldChar w:fldCharType="separate"/>
      </w:r>
      <w:r>
        <w:rPr>
          <w:rFonts w:hint="default" w:ascii="ＭＳ ゴシック" w:hAnsi="ＭＳ ゴシック" w:eastAsia="ＭＳ ゴシック"/>
        </w:rPr>
        <w:t>ア）正しい知識の普及啓発・健康教育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_Toc59007835 \h </w:instrText>
      </w:r>
      <w:r>
        <w:rPr>
          <w:rFonts w:hint="eastAsia"/>
        </w:rPr>
        <w:fldChar w:fldCharType="separate"/>
      </w:r>
      <w:r>
        <w:rPr>
          <w:rFonts w:hint="default" w:ascii="ＭＳ ゴシック" w:hAnsi="ＭＳ ゴシック" w:eastAsia="ＭＳ ゴシック"/>
        </w:rPr>
        <w:t>115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"_Toc59007836"</w:instrText>
      </w:r>
      <w:r>
        <w:rPr>
          <w:rFonts w:hint="eastAsia"/>
        </w:rPr>
        <w:fldChar w:fldCharType="separate"/>
      </w:r>
      <w:r>
        <w:rPr>
          <w:rFonts w:hint="default" w:ascii="ＭＳ ゴシック" w:hAnsi="ＭＳ ゴシック" w:eastAsia="ＭＳ ゴシック"/>
        </w:rPr>
        <w:t>イ）生活習慣病対策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_Toc59007836 \h </w:instrText>
      </w:r>
      <w:r>
        <w:rPr>
          <w:rFonts w:hint="eastAsia"/>
        </w:rPr>
        <w:fldChar w:fldCharType="separate"/>
      </w:r>
      <w:r>
        <w:rPr>
          <w:rFonts w:hint="default" w:ascii="ＭＳ ゴシック" w:hAnsi="ＭＳ ゴシック" w:eastAsia="ＭＳ ゴシック"/>
        </w:rPr>
        <w:t>115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rPr>
      </w:pPr>
      <w:r>
        <w:rPr>
          <w:rFonts w:hint="eastAsia"/>
        </w:rPr>
        <w:fldChar w:fldCharType="begin"/>
      </w:r>
      <w:r>
        <w:rPr>
          <w:rFonts w:hint="eastAsia"/>
        </w:rPr>
        <w:instrText xml:space="preserve"> HYPERLINK  \l "_Toc59007837"</w:instrText>
      </w:r>
      <w:r>
        <w:rPr>
          <w:rFonts w:hint="eastAsia"/>
        </w:rPr>
        <w:fldChar w:fldCharType="separate"/>
      </w:r>
      <w:r>
        <w:rPr>
          <w:rFonts w:hint="default" w:ascii="ＭＳ ゴシック" w:hAnsi="ＭＳ ゴシック" w:eastAsia="ＭＳ ゴシック"/>
        </w:rPr>
        <w:t>ウ）認知症予防推進員の養成</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_Toc59007837 \h </w:instrText>
      </w:r>
      <w:r>
        <w:rPr>
          <w:rFonts w:hint="eastAsia"/>
        </w:rPr>
        <w:fldChar w:fldCharType="separate"/>
      </w:r>
      <w:r>
        <w:rPr>
          <w:rFonts w:hint="default" w:ascii="ＭＳ ゴシック" w:hAnsi="ＭＳ ゴシック" w:eastAsia="ＭＳ ゴシック"/>
        </w:rPr>
        <w:t>115</w:t>
      </w:r>
      <w:r>
        <w:rPr>
          <w:rFonts w:hint="eastAsia"/>
        </w:rPr>
        <w:fldChar w:fldCharType="end"/>
      </w:r>
    </w:p>
    <w:p>
      <w:pPr>
        <w:pStyle w:val="0"/>
        <w:rPr>
          <w:rFonts w:hint="default"/>
        </w:rPr>
      </w:pPr>
    </w:p>
    <w:p>
      <w:pPr>
        <w:pStyle w:val="0"/>
        <w:rPr>
          <w:rFonts w:hint="default"/>
        </w:rPr>
      </w:pPr>
    </w:p>
    <w:p>
      <w:pPr>
        <w:pStyle w:val="0"/>
        <w:rPr>
          <w:rFonts w:hint="default"/>
        </w:rPr>
      </w:pP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"_Toc59007838"</w:instrText>
      </w:r>
      <w:r>
        <w:rPr>
          <w:rFonts w:hint="eastAsia"/>
        </w:rPr>
        <w:fldChar w:fldCharType="separate"/>
      </w:r>
      <w:r>
        <w:rPr>
          <w:rFonts w:hint="default" w:ascii="ＭＳ ゴシック" w:hAnsi="ＭＳ ゴシック" w:eastAsia="ＭＳ ゴシック"/>
        </w:rPr>
        <w:t>（２）認知症の早期発見・早期対応の推進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_Toc59007838 \h </w:instrText>
      </w:r>
      <w:r>
        <w:rPr>
          <w:rFonts w:hint="eastAsia"/>
        </w:rPr>
        <w:fldChar w:fldCharType="separate"/>
      </w:r>
      <w:r>
        <w:rPr>
          <w:rFonts w:hint="default" w:ascii="ＭＳ ゴシック" w:hAnsi="ＭＳ ゴシック" w:eastAsia="ＭＳ ゴシック"/>
        </w:rPr>
        <w:t>116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"_Toc59007839"</w:instrText>
      </w:r>
      <w:r>
        <w:rPr>
          <w:rFonts w:hint="eastAsia"/>
        </w:rPr>
        <w:fldChar w:fldCharType="separate"/>
      </w:r>
      <w:r>
        <w:rPr>
          <w:rFonts w:hint="default" w:ascii="ＭＳ ゴシック" w:hAnsi="ＭＳ ゴシック" w:eastAsia="ＭＳ ゴシック"/>
        </w:rPr>
        <w:t>ア）早期発見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_Toc59007839 \h </w:instrText>
      </w:r>
      <w:r>
        <w:rPr>
          <w:rFonts w:hint="eastAsia"/>
        </w:rPr>
        <w:fldChar w:fldCharType="separate"/>
      </w:r>
      <w:r>
        <w:rPr>
          <w:rFonts w:hint="default" w:ascii="ＭＳ ゴシック" w:hAnsi="ＭＳ ゴシック" w:eastAsia="ＭＳ ゴシック"/>
        </w:rPr>
        <w:t>116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"_Toc59007840"</w:instrText>
      </w:r>
      <w:r>
        <w:rPr>
          <w:rFonts w:hint="eastAsia"/>
        </w:rPr>
        <w:fldChar w:fldCharType="separate"/>
      </w:r>
      <w:r>
        <w:rPr>
          <w:rFonts w:hint="default" w:ascii="ＭＳ ゴシック" w:hAnsi="ＭＳ ゴシック" w:eastAsia="ＭＳ ゴシック"/>
        </w:rPr>
        <w:t>イ）早期対応</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_Toc59007840 \h </w:instrText>
      </w:r>
      <w:r>
        <w:rPr>
          <w:rFonts w:hint="eastAsia"/>
        </w:rPr>
        <w:fldChar w:fldCharType="separate"/>
      </w:r>
      <w:r>
        <w:rPr>
          <w:rFonts w:hint="default" w:ascii="ＭＳ ゴシック" w:hAnsi="ＭＳ ゴシック" w:eastAsia="ＭＳ ゴシック"/>
        </w:rPr>
        <w:t>116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"_Toc59007841"</w:instrText>
      </w:r>
      <w:r>
        <w:rPr>
          <w:rFonts w:hint="eastAsia"/>
        </w:rPr>
        <w:fldChar w:fldCharType="separate"/>
      </w:r>
      <w:r>
        <w:rPr>
          <w:rFonts w:hint="default" w:ascii="ＭＳ ゴシック" w:hAnsi="ＭＳ ゴシック" w:eastAsia="ＭＳ ゴシック"/>
        </w:rPr>
        <w:t>ウ）認知症初期集中支援チームによる支援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_Toc59007841 \h </w:instrText>
      </w:r>
      <w:r>
        <w:rPr>
          <w:rFonts w:hint="eastAsia"/>
        </w:rPr>
        <w:fldChar w:fldCharType="separate"/>
      </w:r>
      <w:r>
        <w:rPr>
          <w:rFonts w:hint="default" w:ascii="ＭＳ ゴシック" w:hAnsi="ＭＳ ゴシック" w:eastAsia="ＭＳ ゴシック"/>
        </w:rPr>
        <w:t>116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"_Toc59007842"</w:instrText>
      </w:r>
      <w:r>
        <w:rPr>
          <w:rFonts w:hint="eastAsia"/>
        </w:rPr>
        <w:fldChar w:fldCharType="separate"/>
      </w:r>
      <w:r>
        <w:rPr>
          <w:rFonts w:hint="default" w:ascii="ＭＳ ゴシック" w:hAnsi="ＭＳ ゴシック" w:eastAsia="ＭＳ ゴシック"/>
        </w:rPr>
        <w:t>（３）認知症高齢者の見守り・支援体制の強化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_Toc59007842 \h </w:instrText>
      </w:r>
      <w:r>
        <w:rPr>
          <w:rFonts w:hint="eastAsia"/>
        </w:rPr>
        <w:fldChar w:fldCharType="separate"/>
      </w:r>
      <w:r>
        <w:rPr>
          <w:rFonts w:hint="default" w:ascii="ＭＳ ゴシック" w:hAnsi="ＭＳ ゴシック" w:eastAsia="ＭＳ ゴシック"/>
        </w:rPr>
        <w:t>117</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"_Toc59007843"</w:instrText>
      </w:r>
      <w:r>
        <w:rPr>
          <w:rFonts w:hint="eastAsia"/>
        </w:rPr>
        <w:fldChar w:fldCharType="separate"/>
      </w:r>
      <w:r>
        <w:rPr>
          <w:rFonts w:hint="default" w:ascii="ＭＳ ゴシック" w:hAnsi="ＭＳ ゴシック" w:eastAsia="ＭＳ ゴシック"/>
        </w:rPr>
        <w:t>ア）ひとり歩き・行方不明対策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_Toc59007843 \h </w:instrText>
      </w:r>
      <w:r>
        <w:rPr>
          <w:rFonts w:hint="eastAsia"/>
        </w:rPr>
        <w:fldChar w:fldCharType="separate"/>
      </w:r>
      <w:r>
        <w:rPr>
          <w:rFonts w:hint="default" w:ascii="ＭＳ ゴシック" w:hAnsi="ＭＳ ゴシック" w:eastAsia="ＭＳ ゴシック"/>
        </w:rPr>
        <w:t>117</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"_Toc59007844"</w:instrText>
      </w:r>
      <w:r>
        <w:rPr>
          <w:rFonts w:hint="eastAsia"/>
        </w:rPr>
        <w:fldChar w:fldCharType="separate"/>
      </w:r>
      <w:r>
        <w:rPr>
          <w:rFonts w:hint="default" w:ascii="ＭＳ ゴシック" w:hAnsi="ＭＳ ゴシック" w:eastAsia="ＭＳ ゴシック"/>
        </w:rPr>
        <w:t>イ）認知症サポーターの養成・活用</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_Toc59007844 \h </w:instrText>
      </w:r>
      <w:r>
        <w:rPr>
          <w:rFonts w:hint="eastAsia"/>
        </w:rPr>
        <w:fldChar w:fldCharType="separate"/>
      </w:r>
      <w:r>
        <w:rPr>
          <w:rFonts w:hint="default" w:ascii="ＭＳ ゴシック" w:hAnsi="ＭＳ ゴシック" w:eastAsia="ＭＳ ゴシック"/>
        </w:rPr>
        <w:t>118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"_Toc59007845"</w:instrText>
      </w:r>
      <w:r>
        <w:rPr>
          <w:rFonts w:hint="eastAsia"/>
        </w:rPr>
        <w:fldChar w:fldCharType="separate"/>
      </w:r>
      <w:r>
        <w:rPr>
          <w:rFonts w:hint="default" w:ascii="ＭＳ ゴシック" w:hAnsi="ＭＳ ゴシック" w:eastAsia="ＭＳ ゴシック"/>
        </w:rPr>
        <w:t>ウ）認知症のかたの交流場所の確保</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_Toc59007845 \h </w:instrText>
      </w:r>
      <w:r>
        <w:rPr>
          <w:rFonts w:hint="eastAsia"/>
        </w:rPr>
        <w:fldChar w:fldCharType="separate"/>
      </w:r>
      <w:r>
        <w:rPr>
          <w:rFonts w:hint="default" w:ascii="ＭＳ ゴシック" w:hAnsi="ＭＳ ゴシック" w:eastAsia="ＭＳ ゴシック"/>
        </w:rPr>
        <w:t>118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"_Toc59007846"</w:instrText>
      </w:r>
      <w:r>
        <w:rPr>
          <w:rFonts w:hint="eastAsia"/>
        </w:rPr>
        <w:fldChar w:fldCharType="separate"/>
      </w:r>
      <w:r>
        <w:rPr>
          <w:rFonts w:hint="default" w:ascii="ＭＳ ゴシック" w:hAnsi="ＭＳ ゴシック" w:eastAsia="ＭＳ ゴシック"/>
        </w:rPr>
        <w:t>エ）認知症のかたの本人発信支援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_Toc59007846 \h </w:instrText>
      </w:r>
      <w:r>
        <w:rPr>
          <w:rFonts w:hint="eastAsia"/>
        </w:rPr>
        <w:fldChar w:fldCharType="separate"/>
      </w:r>
      <w:r>
        <w:rPr>
          <w:rFonts w:hint="default" w:ascii="ＭＳ ゴシック" w:hAnsi="ＭＳ ゴシック" w:eastAsia="ＭＳ ゴシック"/>
        </w:rPr>
        <w:t>118</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"_Toc59007847"</w:instrText>
      </w:r>
      <w:r>
        <w:rPr>
          <w:rFonts w:hint="eastAsia"/>
        </w:rPr>
        <w:fldChar w:fldCharType="separate"/>
      </w:r>
      <w:r>
        <w:rPr>
          <w:rFonts w:hint="default" w:ascii="ＭＳ ゴシック" w:hAnsi="ＭＳ ゴシック" w:eastAsia="ＭＳ ゴシック"/>
        </w:rPr>
        <w:t>オ）家族介護者支援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_Toc59007847 \h </w:instrText>
      </w:r>
      <w:r>
        <w:rPr>
          <w:rFonts w:hint="eastAsia"/>
        </w:rPr>
        <w:fldChar w:fldCharType="separate"/>
      </w:r>
      <w:r>
        <w:rPr>
          <w:rFonts w:hint="default" w:ascii="ＭＳ ゴシック" w:hAnsi="ＭＳ ゴシック" w:eastAsia="ＭＳ ゴシック"/>
        </w:rPr>
        <w:t>118</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"_Toc59007848"</w:instrText>
      </w:r>
      <w:r>
        <w:rPr>
          <w:rFonts w:hint="eastAsia"/>
        </w:rPr>
        <w:fldChar w:fldCharType="separate"/>
      </w:r>
      <w:r>
        <w:rPr>
          <w:rFonts w:hint="default" w:ascii="ＭＳ ゴシック" w:hAnsi="ＭＳ ゴシック" w:eastAsia="ＭＳ ゴシック"/>
        </w:rPr>
        <w:t>４．介護サービスの質の確保・向上と適正・円滑な運営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_Toc59007848 \h </w:instrText>
      </w:r>
      <w:r>
        <w:rPr>
          <w:rFonts w:hint="eastAsia"/>
        </w:rPr>
        <w:fldChar w:fldCharType="separate"/>
      </w:r>
      <w:r>
        <w:rPr>
          <w:rFonts w:hint="default" w:ascii="ＭＳ ゴシック" w:hAnsi="ＭＳ ゴシック" w:eastAsia="ＭＳ ゴシック"/>
        </w:rPr>
        <w:t>119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"_Toc59007849"</w:instrText>
      </w:r>
      <w:r>
        <w:rPr>
          <w:rFonts w:hint="eastAsia"/>
        </w:rPr>
        <w:fldChar w:fldCharType="separate"/>
      </w:r>
      <w:r>
        <w:rPr>
          <w:rFonts w:hint="default" w:ascii="ＭＳ ゴシック" w:hAnsi="ＭＳ ゴシック" w:eastAsia="ＭＳ ゴシック"/>
        </w:rPr>
        <w:t>（１）介護サービスの提供</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_Toc59007849 \h </w:instrText>
      </w:r>
      <w:r>
        <w:rPr>
          <w:rFonts w:hint="eastAsia"/>
        </w:rPr>
        <w:fldChar w:fldCharType="separate"/>
      </w:r>
      <w:r>
        <w:rPr>
          <w:rFonts w:hint="default" w:ascii="ＭＳ ゴシック" w:hAnsi="ＭＳ ゴシック" w:eastAsia="ＭＳ ゴシック"/>
        </w:rPr>
        <w:t>119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"_Toc59007850"</w:instrText>
      </w:r>
      <w:r>
        <w:rPr>
          <w:rFonts w:hint="eastAsia"/>
        </w:rPr>
        <w:fldChar w:fldCharType="separate"/>
      </w:r>
      <w:r>
        <w:rPr>
          <w:rFonts w:hint="default" w:ascii="ＭＳ ゴシック" w:hAnsi="ＭＳ ゴシック" w:eastAsia="ＭＳ ゴシック"/>
        </w:rPr>
        <w:t>（２）介護サービスの基盤の充実と質の確保・向上</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_Toc59007850 \h </w:instrText>
      </w:r>
      <w:r>
        <w:rPr>
          <w:rFonts w:hint="eastAsia"/>
        </w:rPr>
        <w:fldChar w:fldCharType="separate"/>
      </w:r>
      <w:r>
        <w:rPr>
          <w:rFonts w:hint="default" w:ascii="ＭＳ ゴシック" w:hAnsi="ＭＳ ゴシック" w:eastAsia="ＭＳ ゴシック"/>
        </w:rPr>
        <w:t>119</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"_Toc59007851"</w:instrText>
      </w:r>
      <w:r>
        <w:rPr>
          <w:rFonts w:hint="eastAsia"/>
        </w:rPr>
        <w:fldChar w:fldCharType="separate"/>
      </w:r>
      <w:r>
        <w:rPr>
          <w:rFonts w:hint="default" w:ascii="ＭＳ ゴシック" w:hAnsi="ＭＳ ゴシック" w:eastAsia="ＭＳ ゴシック"/>
        </w:rPr>
        <w:t>ア）適切な指導監査の実施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_Toc59007851 \h </w:instrText>
      </w:r>
      <w:r>
        <w:rPr>
          <w:rFonts w:hint="eastAsia"/>
        </w:rPr>
        <w:fldChar w:fldCharType="separate"/>
      </w:r>
      <w:r>
        <w:rPr>
          <w:rFonts w:hint="default" w:ascii="ＭＳ ゴシック" w:hAnsi="ＭＳ ゴシック" w:eastAsia="ＭＳ ゴシック"/>
        </w:rPr>
        <w:t>119</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"_Toc59007852"</w:instrText>
      </w:r>
      <w:r>
        <w:rPr>
          <w:rFonts w:hint="eastAsia"/>
        </w:rPr>
        <w:fldChar w:fldCharType="separate"/>
      </w:r>
      <w:r>
        <w:rPr>
          <w:rFonts w:hint="default" w:ascii="ＭＳ ゴシック" w:hAnsi="ＭＳ ゴシック" w:eastAsia="ＭＳ ゴシック"/>
        </w:rPr>
        <w:t>イ）事業者や福祉の質の確保・向上、介護人材の確保</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_Toc59007852 \h </w:instrText>
      </w:r>
      <w:r>
        <w:rPr>
          <w:rFonts w:hint="eastAsia"/>
        </w:rPr>
        <w:fldChar w:fldCharType="separate"/>
      </w:r>
      <w:r>
        <w:rPr>
          <w:rFonts w:hint="default" w:ascii="ＭＳ ゴシック" w:hAnsi="ＭＳ ゴシック" w:eastAsia="ＭＳ ゴシック"/>
        </w:rPr>
        <w:t>120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"_Toc59007853"</w:instrText>
      </w:r>
      <w:r>
        <w:rPr>
          <w:rFonts w:hint="eastAsia"/>
        </w:rPr>
        <w:fldChar w:fldCharType="separate"/>
      </w:r>
      <w:r>
        <w:rPr>
          <w:rFonts w:hint="default" w:ascii="ＭＳ ゴシック" w:hAnsi="ＭＳ ゴシック" w:eastAsia="ＭＳ ゴシック"/>
        </w:rPr>
        <w:t>（３）包括的な相談体制等の充実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_Toc59007853 \h </w:instrText>
      </w:r>
      <w:r>
        <w:rPr>
          <w:rFonts w:hint="eastAsia"/>
        </w:rPr>
        <w:fldChar w:fldCharType="separate"/>
      </w:r>
      <w:r>
        <w:rPr>
          <w:rFonts w:hint="default" w:ascii="ＭＳ ゴシック" w:hAnsi="ＭＳ ゴシック" w:eastAsia="ＭＳ ゴシック"/>
        </w:rPr>
        <w:t>120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"_Toc59007854"</w:instrText>
      </w:r>
      <w:r>
        <w:rPr>
          <w:rFonts w:hint="eastAsia"/>
        </w:rPr>
        <w:fldChar w:fldCharType="separate"/>
      </w:r>
      <w:r>
        <w:rPr>
          <w:rFonts w:hint="default" w:ascii="ＭＳ ゴシック" w:hAnsi="ＭＳ ゴシック" w:eastAsia="ＭＳ ゴシック"/>
        </w:rPr>
        <w:t>ア）相談体制の充実</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_Toc59007854 \h </w:instrText>
      </w:r>
      <w:r>
        <w:rPr>
          <w:rFonts w:hint="eastAsia"/>
        </w:rPr>
        <w:fldChar w:fldCharType="separate"/>
      </w:r>
      <w:r>
        <w:rPr>
          <w:rFonts w:hint="default" w:ascii="ＭＳ ゴシック" w:hAnsi="ＭＳ ゴシック" w:eastAsia="ＭＳ ゴシック"/>
        </w:rPr>
        <w:t>120</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"_Toc59007855"</w:instrText>
      </w:r>
      <w:r>
        <w:rPr>
          <w:rFonts w:hint="eastAsia"/>
        </w:rPr>
        <w:fldChar w:fldCharType="separate"/>
      </w:r>
      <w:r>
        <w:rPr>
          <w:rFonts w:hint="default" w:ascii="ＭＳ ゴシック" w:hAnsi="ＭＳ ゴシック" w:eastAsia="ＭＳ ゴシック"/>
        </w:rPr>
        <w:t>イ）高齢者等利用者にとってわかりやすい情報の提供</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_Toc59007855 \h </w:instrText>
      </w:r>
      <w:r>
        <w:rPr>
          <w:rFonts w:hint="eastAsia"/>
        </w:rPr>
        <w:fldChar w:fldCharType="separate"/>
      </w:r>
      <w:r>
        <w:rPr>
          <w:rFonts w:hint="default" w:ascii="ＭＳ ゴシック" w:hAnsi="ＭＳ ゴシック" w:eastAsia="ＭＳ ゴシック"/>
        </w:rPr>
        <w:t>120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"_Toc59007856"</w:instrText>
      </w:r>
      <w:r>
        <w:rPr>
          <w:rFonts w:hint="eastAsia"/>
        </w:rPr>
        <w:fldChar w:fldCharType="separate"/>
      </w:r>
      <w:r>
        <w:rPr>
          <w:rFonts w:hint="default" w:ascii="ＭＳ ゴシック" w:hAnsi="ＭＳ ゴシック" w:eastAsia="ＭＳ ゴシック"/>
        </w:rPr>
        <w:t>（４）介護保険事業の適正かつ円滑な運営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_Toc59007856 \h </w:instrText>
      </w:r>
      <w:r>
        <w:rPr>
          <w:rFonts w:hint="eastAsia"/>
        </w:rPr>
        <w:fldChar w:fldCharType="separate"/>
      </w:r>
      <w:r>
        <w:rPr>
          <w:rFonts w:hint="default" w:ascii="ＭＳ ゴシック" w:hAnsi="ＭＳ ゴシック" w:eastAsia="ＭＳ ゴシック"/>
        </w:rPr>
        <w:t>121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"_Toc59007857"</w:instrText>
      </w:r>
      <w:r>
        <w:rPr>
          <w:rFonts w:hint="eastAsia"/>
        </w:rPr>
        <w:fldChar w:fldCharType="separate"/>
      </w:r>
      <w:r>
        <w:rPr>
          <w:rFonts w:hint="default" w:ascii="ＭＳ ゴシック" w:hAnsi="ＭＳ ゴシック" w:eastAsia="ＭＳ ゴシック"/>
        </w:rPr>
        <w:t>ア）適正な要介護認定の実施</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_Toc59007857 \h </w:instrText>
      </w:r>
      <w:r>
        <w:rPr>
          <w:rFonts w:hint="eastAsia"/>
        </w:rPr>
        <w:fldChar w:fldCharType="separate"/>
      </w:r>
      <w:r>
        <w:rPr>
          <w:rFonts w:hint="default" w:ascii="ＭＳ ゴシック" w:hAnsi="ＭＳ ゴシック" w:eastAsia="ＭＳ ゴシック"/>
        </w:rPr>
        <w:t>121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"_Toc59007858"</w:instrText>
      </w:r>
      <w:r>
        <w:rPr>
          <w:rFonts w:hint="eastAsia"/>
        </w:rPr>
        <w:fldChar w:fldCharType="separate"/>
      </w:r>
      <w:r>
        <w:rPr>
          <w:rFonts w:hint="default" w:ascii="ＭＳ ゴシック" w:hAnsi="ＭＳ ゴシック" w:eastAsia="ＭＳ ゴシック"/>
        </w:rPr>
        <w:t>イ）介護給付適正化事業の推進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_Toc59007858 \h </w:instrText>
      </w:r>
      <w:r>
        <w:rPr>
          <w:rFonts w:hint="eastAsia"/>
        </w:rPr>
        <w:fldChar w:fldCharType="separate"/>
      </w:r>
      <w:r>
        <w:rPr>
          <w:rFonts w:hint="default" w:ascii="ＭＳ ゴシック" w:hAnsi="ＭＳ ゴシック" w:eastAsia="ＭＳ ゴシック"/>
        </w:rPr>
        <w:t>121</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"_Toc59007859"</w:instrText>
      </w:r>
      <w:r>
        <w:rPr>
          <w:rFonts w:hint="eastAsia"/>
        </w:rPr>
        <w:fldChar w:fldCharType="separate"/>
      </w:r>
      <w:r>
        <w:rPr>
          <w:rFonts w:hint="default" w:ascii="ＭＳ ゴシック" w:hAnsi="ＭＳ ゴシック" w:eastAsia="ＭＳ ゴシック"/>
        </w:rPr>
        <w:t>ウ）社会福祉法人による介護保険サービス利用者負担軽減措置</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_Toc59007859 \h </w:instrText>
      </w:r>
      <w:r>
        <w:rPr>
          <w:rFonts w:hint="eastAsia"/>
        </w:rPr>
        <w:fldChar w:fldCharType="separate"/>
      </w:r>
      <w:r>
        <w:rPr>
          <w:rFonts w:hint="default" w:ascii="ＭＳ ゴシック" w:hAnsi="ＭＳ ゴシック" w:eastAsia="ＭＳ ゴシック"/>
        </w:rPr>
        <w:t>123</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"_Toc59007860"</w:instrText>
      </w:r>
      <w:r>
        <w:rPr>
          <w:rFonts w:hint="eastAsia"/>
        </w:rPr>
        <w:fldChar w:fldCharType="separate"/>
      </w:r>
      <w:r>
        <w:rPr>
          <w:rFonts w:hint="default" w:ascii="ＭＳ ゴシック" w:hAnsi="ＭＳ ゴシック" w:eastAsia="ＭＳ ゴシック"/>
        </w:rPr>
        <w:t>エ）介護サービス評価専門員による評価</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_Toc59007860 \h </w:instrText>
      </w:r>
      <w:r>
        <w:rPr>
          <w:rFonts w:hint="eastAsia"/>
        </w:rPr>
        <w:fldChar w:fldCharType="separate"/>
      </w:r>
      <w:r>
        <w:rPr>
          <w:rFonts w:hint="default" w:ascii="ＭＳ ゴシック" w:hAnsi="ＭＳ ゴシック" w:eastAsia="ＭＳ ゴシック"/>
        </w:rPr>
        <w:t>123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"_Toc59007861"</w:instrText>
      </w:r>
      <w:r>
        <w:rPr>
          <w:rFonts w:hint="eastAsia"/>
        </w:rPr>
        <w:fldChar w:fldCharType="separate"/>
      </w:r>
      <w:r>
        <w:rPr>
          <w:rFonts w:hint="default" w:ascii="ＭＳ ゴシック" w:hAnsi="ＭＳ ゴシック" w:eastAsia="ＭＳ ゴシック"/>
        </w:rPr>
        <w:t>５．安全・安心のまちづくりの推進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_Toc59007861 \h </w:instrText>
      </w:r>
      <w:r>
        <w:rPr>
          <w:rFonts w:hint="eastAsia"/>
        </w:rPr>
        <w:fldChar w:fldCharType="separate"/>
      </w:r>
      <w:r>
        <w:rPr>
          <w:rFonts w:hint="default" w:ascii="ＭＳ ゴシック" w:hAnsi="ＭＳ ゴシック" w:eastAsia="ＭＳ ゴシック"/>
        </w:rPr>
        <w:t>124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"_Toc59007862"</w:instrText>
      </w:r>
      <w:r>
        <w:rPr>
          <w:rFonts w:hint="eastAsia"/>
        </w:rPr>
        <w:fldChar w:fldCharType="separate"/>
      </w:r>
      <w:r>
        <w:rPr>
          <w:rFonts w:hint="default" w:ascii="ＭＳ ゴシック" w:hAnsi="ＭＳ ゴシック" w:eastAsia="ＭＳ ゴシック"/>
        </w:rPr>
        <w:t>（１）福祉のまちづくりの推進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_Toc59007862 \h </w:instrText>
      </w:r>
      <w:r>
        <w:rPr>
          <w:rFonts w:hint="eastAsia"/>
        </w:rPr>
        <w:fldChar w:fldCharType="separate"/>
      </w:r>
      <w:r>
        <w:rPr>
          <w:rFonts w:hint="default" w:ascii="ＭＳ ゴシック" w:hAnsi="ＭＳ ゴシック" w:eastAsia="ＭＳ ゴシック"/>
        </w:rPr>
        <w:t>124</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"_Toc59007863"</w:instrText>
      </w:r>
      <w:r>
        <w:rPr>
          <w:rFonts w:hint="eastAsia"/>
        </w:rPr>
        <w:fldChar w:fldCharType="separate"/>
      </w:r>
      <w:r>
        <w:rPr>
          <w:rFonts w:hint="default" w:ascii="ＭＳ ゴシック" w:hAnsi="ＭＳ ゴシック" w:eastAsia="ＭＳ ゴシック"/>
        </w:rPr>
        <w:t>ア）バリアフリーのまちづくりの推進</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_Toc59007863 \h </w:instrText>
      </w:r>
      <w:r>
        <w:rPr>
          <w:rFonts w:hint="eastAsia"/>
        </w:rPr>
        <w:fldChar w:fldCharType="separate"/>
      </w:r>
      <w:r>
        <w:rPr>
          <w:rFonts w:hint="default" w:ascii="ＭＳ ゴシック" w:hAnsi="ＭＳ ゴシック" w:eastAsia="ＭＳ ゴシック"/>
        </w:rPr>
        <w:t>124</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"_Toc59007864"</w:instrText>
      </w:r>
      <w:r>
        <w:rPr>
          <w:rFonts w:hint="eastAsia"/>
        </w:rPr>
        <w:fldChar w:fldCharType="separate"/>
      </w:r>
      <w:r>
        <w:rPr>
          <w:rFonts w:hint="default" w:ascii="ＭＳ ゴシック" w:hAnsi="ＭＳ ゴシック" w:eastAsia="ＭＳ ゴシック"/>
        </w:rPr>
        <w:t>イ）移動支援サービスの整備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_Toc59007864 \h </w:instrText>
      </w:r>
      <w:r>
        <w:rPr>
          <w:rFonts w:hint="eastAsia"/>
        </w:rPr>
        <w:fldChar w:fldCharType="separate"/>
      </w:r>
      <w:r>
        <w:rPr>
          <w:rFonts w:hint="default" w:ascii="ＭＳ ゴシック" w:hAnsi="ＭＳ ゴシック" w:eastAsia="ＭＳ ゴシック"/>
        </w:rPr>
        <w:t>124</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"_Toc59007865"</w:instrText>
      </w:r>
      <w:r>
        <w:rPr>
          <w:rFonts w:hint="eastAsia"/>
        </w:rPr>
        <w:fldChar w:fldCharType="separate"/>
      </w:r>
      <w:r>
        <w:rPr>
          <w:rFonts w:hint="default" w:ascii="ＭＳ ゴシック" w:hAnsi="ＭＳ ゴシック" w:eastAsia="ＭＳ ゴシック"/>
        </w:rPr>
        <w:t>（２）高齢者の住環境の整備</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_Toc59007865 \h </w:instrText>
      </w:r>
      <w:r>
        <w:rPr>
          <w:rFonts w:hint="eastAsia"/>
        </w:rPr>
        <w:fldChar w:fldCharType="separate"/>
      </w:r>
      <w:r>
        <w:rPr>
          <w:rFonts w:hint="default" w:ascii="ＭＳ ゴシック" w:hAnsi="ＭＳ ゴシック" w:eastAsia="ＭＳ ゴシック"/>
        </w:rPr>
        <w:t>125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"_Toc59007866"</w:instrText>
      </w:r>
      <w:r>
        <w:rPr>
          <w:rFonts w:hint="eastAsia"/>
        </w:rPr>
        <w:fldChar w:fldCharType="separate"/>
      </w:r>
      <w:r>
        <w:rPr>
          <w:rFonts w:hint="default" w:ascii="ＭＳ ゴシック" w:hAnsi="ＭＳ ゴシック" w:eastAsia="ＭＳ ゴシック"/>
        </w:rPr>
        <w:t>ア）公営住宅の整備と住宅のバリアフリー化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_Toc59007866 \h </w:instrText>
      </w:r>
      <w:r>
        <w:rPr>
          <w:rFonts w:hint="eastAsia"/>
        </w:rPr>
        <w:fldChar w:fldCharType="separate"/>
      </w:r>
      <w:r>
        <w:rPr>
          <w:rFonts w:hint="default" w:ascii="ＭＳ ゴシック" w:hAnsi="ＭＳ ゴシック" w:eastAsia="ＭＳ ゴシック"/>
        </w:rPr>
        <w:t>125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"_Toc59007867"</w:instrText>
      </w:r>
      <w:r>
        <w:rPr>
          <w:rFonts w:hint="eastAsia"/>
        </w:rPr>
        <w:fldChar w:fldCharType="separate"/>
      </w:r>
      <w:r>
        <w:rPr>
          <w:rFonts w:hint="default" w:ascii="ＭＳ ゴシック" w:hAnsi="ＭＳ ゴシック" w:eastAsia="ＭＳ ゴシック"/>
        </w:rPr>
        <w:t>イ）多様な住まいの支援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_Toc59007867 \h </w:instrText>
      </w:r>
      <w:r>
        <w:rPr>
          <w:rFonts w:hint="eastAsia"/>
        </w:rPr>
        <w:fldChar w:fldCharType="separate"/>
      </w:r>
      <w:r>
        <w:rPr>
          <w:rFonts w:hint="default" w:ascii="ＭＳ ゴシック" w:hAnsi="ＭＳ ゴシック" w:eastAsia="ＭＳ ゴシック"/>
        </w:rPr>
        <w:t>125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"_Toc59007868"</w:instrText>
      </w:r>
      <w:r>
        <w:rPr>
          <w:rFonts w:hint="eastAsia"/>
        </w:rPr>
        <w:fldChar w:fldCharType="separate"/>
      </w:r>
      <w:r>
        <w:rPr>
          <w:rFonts w:hint="default" w:ascii="ＭＳ ゴシック" w:hAnsi="ＭＳ ゴシック" w:eastAsia="ＭＳ ゴシック"/>
        </w:rPr>
        <w:t>ウ）高齢者の安定入居への支援</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_Toc59007868 \h </w:instrText>
      </w:r>
      <w:r>
        <w:rPr>
          <w:rFonts w:hint="eastAsia"/>
        </w:rPr>
        <w:fldChar w:fldCharType="separate"/>
      </w:r>
      <w:r>
        <w:rPr>
          <w:rFonts w:hint="default" w:ascii="ＭＳ ゴシック" w:hAnsi="ＭＳ ゴシック" w:eastAsia="ＭＳ ゴシック"/>
        </w:rPr>
        <w:t>125</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"_Toc59007869"</w:instrText>
      </w:r>
      <w:r>
        <w:rPr>
          <w:rFonts w:hint="eastAsia"/>
        </w:rPr>
        <w:fldChar w:fldCharType="separate"/>
      </w:r>
      <w:r>
        <w:rPr>
          <w:rFonts w:hint="default" w:ascii="ＭＳ ゴシック" w:hAnsi="ＭＳ ゴシック" w:eastAsia="ＭＳ ゴシック"/>
        </w:rPr>
        <w:t>エ）養護老人ホーム</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_Toc59007869 \h </w:instrText>
      </w:r>
      <w:r>
        <w:rPr>
          <w:rFonts w:hint="eastAsia"/>
        </w:rPr>
        <w:fldChar w:fldCharType="separate"/>
      </w:r>
      <w:r>
        <w:rPr>
          <w:rFonts w:hint="default" w:ascii="ＭＳ ゴシック" w:hAnsi="ＭＳ ゴシック" w:eastAsia="ＭＳ ゴシック"/>
        </w:rPr>
        <w:t>126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"_Toc59007870"</w:instrText>
      </w:r>
      <w:r>
        <w:rPr>
          <w:rFonts w:hint="eastAsia"/>
        </w:rPr>
        <w:fldChar w:fldCharType="separate"/>
      </w:r>
      <w:r>
        <w:rPr>
          <w:rFonts w:hint="default" w:ascii="ＭＳ ゴシック" w:hAnsi="ＭＳ ゴシック" w:eastAsia="ＭＳ ゴシック"/>
        </w:rPr>
        <w:t>オ）軽費老人ホーム（ケアハウス）</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_Toc59007870 \h </w:instrText>
      </w:r>
      <w:r>
        <w:rPr>
          <w:rFonts w:hint="eastAsia"/>
        </w:rPr>
        <w:fldChar w:fldCharType="separate"/>
      </w:r>
      <w:r>
        <w:rPr>
          <w:rFonts w:hint="default" w:ascii="ＭＳ ゴシック" w:hAnsi="ＭＳ ゴシック" w:eastAsia="ＭＳ ゴシック"/>
        </w:rPr>
        <w:t>126</w:t>
      </w:r>
      <w:r>
        <w:rPr>
          <w:rFonts w:hint="eastAsia"/>
        </w:rPr>
        <w:fldChar w:fldCharType="end"/>
      </w:r>
    </w:p>
    <w:p>
      <w:pPr>
        <w:pStyle w:val="39"/>
        <w:tabs>
          <w:tab w:val="right" w:leader="middleDot" w:pos="9060"/>
        </w:tabs>
        <w:ind w:firstLine="240" w:firstLineChars="10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"_Toc59007871"</w:instrText>
      </w:r>
      <w:r>
        <w:rPr>
          <w:rFonts w:hint="eastAsia"/>
        </w:rPr>
        <w:fldChar w:fldCharType="separate"/>
      </w:r>
      <w:r>
        <w:rPr>
          <w:rFonts w:hint="default" w:ascii="ＭＳ ゴシック" w:hAnsi="ＭＳ ゴシック" w:eastAsia="ＭＳ ゴシック"/>
        </w:rPr>
        <w:t>カ）サービス付き高齢者向け住宅</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_Toc59007871 \h </w:instrText>
      </w:r>
      <w:r>
        <w:rPr>
          <w:rFonts w:hint="eastAsia"/>
        </w:rPr>
        <w:fldChar w:fldCharType="separate"/>
      </w:r>
      <w:r>
        <w:rPr>
          <w:rFonts w:hint="default" w:ascii="ＭＳ ゴシック" w:hAnsi="ＭＳ ゴシック" w:eastAsia="ＭＳ ゴシック"/>
        </w:rPr>
        <w:t>126</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rPr>
      </w:pPr>
      <w:r>
        <w:rPr>
          <w:rFonts w:hint="eastAsia"/>
        </w:rPr>
        <w:fldChar w:fldCharType="begin"/>
      </w:r>
      <w:r>
        <w:rPr>
          <w:rFonts w:hint="eastAsia"/>
        </w:rPr>
        <w:instrText xml:space="preserve"> HYPERLINK  \l "_Toc59007872"</w:instrText>
      </w:r>
      <w:r>
        <w:rPr>
          <w:rFonts w:hint="eastAsia"/>
        </w:rPr>
        <w:fldChar w:fldCharType="separate"/>
      </w:r>
      <w:r>
        <w:rPr>
          <w:rFonts w:hint="default" w:ascii="ＭＳ ゴシック" w:hAnsi="ＭＳ ゴシック" w:eastAsia="ＭＳ ゴシック"/>
        </w:rPr>
        <w:t>（３）災害や感染症対策に係る高齢者支援体制の確立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_Toc59007872 \h </w:instrText>
      </w:r>
      <w:r>
        <w:rPr>
          <w:rFonts w:hint="eastAsia"/>
        </w:rPr>
        <w:fldChar w:fldCharType="separate"/>
      </w:r>
      <w:r>
        <w:rPr>
          <w:rFonts w:hint="default" w:ascii="ＭＳ ゴシック" w:hAnsi="ＭＳ ゴシック" w:eastAsia="ＭＳ ゴシック"/>
        </w:rPr>
        <w:t>127</w:t>
      </w:r>
      <w:r>
        <w:rPr>
          <w:rFonts w:hint="eastAsia"/>
        </w:rPr>
        <w:fldChar w:fldCharType="end"/>
      </w:r>
    </w:p>
    <w:p>
      <w:pPr>
        <w:pStyle w:val="0"/>
        <w:rPr>
          <w:rFonts w:hint="default"/>
        </w:rPr>
      </w:pPr>
    </w:p>
    <w:p>
      <w:pPr>
        <w:pStyle w:val="0"/>
        <w:rPr>
          <w:rFonts w:hint="default"/>
        </w:rPr>
      </w:pP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"_Toc59007873"</w:instrText>
      </w:r>
      <w:r>
        <w:rPr>
          <w:rFonts w:hint="eastAsia"/>
        </w:rPr>
        <w:fldChar w:fldCharType="separate"/>
      </w:r>
      <w:r>
        <w:rPr>
          <w:rFonts w:hint="default" w:ascii="ＭＳ ゴシック" w:hAnsi="ＭＳ ゴシック" w:eastAsia="ＭＳ ゴシック"/>
        </w:rPr>
        <w:t>第５章　介護サービス量等の見込み</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_Toc59007873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"_Toc59007874"</w:instrText>
      </w:r>
      <w:r>
        <w:rPr>
          <w:rFonts w:hint="eastAsia"/>
        </w:rPr>
        <w:fldChar w:fldCharType="separate"/>
      </w:r>
      <w:r>
        <w:rPr>
          <w:rFonts w:hint="default" w:ascii="ＭＳ ゴシック" w:hAnsi="ＭＳ ゴシック" w:eastAsia="ＭＳ ゴシック"/>
        </w:rPr>
        <w:t>１．サービス利用者数及びサービス見込量（調整中）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_Toc59007874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"_Toc59007875"</w:instrText>
      </w:r>
      <w:r>
        <w:rPr>
          <w:rFonts w:hint="eastAsia"/>
        </w:rPr>
        <w:fldChar w:fldCharType="separate"/>
      </w:r>
      <w:r>
        <w:rPr>
          <w:rFonts w:hint="default" w:ascii="ＭＳ ゴシック" w:hAnsi="ＭＳ ゴシック" w:eastAsia="ＭＳ ゴシック"/>
        </w:rPr>
        <w:t>（１）人口推計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_Toc59007875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"_Toc59007876"</w:instrText>
      </w:r>
      <w:r>
        <w:rPr>
          <w:rFonts w:hint="eastAsia"/>
        </w:rPr>
        <w:fldChar w:fldCharType="separate"/>
      </w:r>
      <w:r>
        <w:rPr>
          <w:rFonts w:hint="default" w:ascii="ＭＳ ゴシック" w:hAnsi="ＭＳ ゴシック" w:eastAsia="ＭＳ ゴシック"/>
        </w:rPr>
        <w:t>（２）要支援・要介護認定者数等の推計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_Toc59007876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"_Toc59007877"</w:instrText>
      </w:r>
      <w:r>
        <w:rPr>
          <w:rFonts w:hint="eastAsia"/>
        </w:rPr>
        <w:fldChar w:fldCharType="separate"/>
      </w:r>
      <w:r>
        <w:rPr>
          <w:rFonts w:hint="default" w:ascii="ＭＳ ゴシック" w:hAnsi="ＭＳ ゴシック" w:eastAsia="ＭＳ ゴシック"/>
        </w:rPr>
        <w:t>（３）要支援・要介護認定者等の認定率の推計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_Toc59007877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"_Toc59007878"</w:instrText>
      </w:r>
      <w:r>
        <w:rPr>
          <w:rFonts w:hint="eastAsia"/>
        </w:rPr>
        <w:fldChar w:fldCharType="separate"/>
      </w:r>
      <w:r>
        <w:rPr>
          <w:rFonts w:hint="default" w:ascii="ＭＳ ゴシック" w:hAnsi="ＭＳ ゴシック" w:eastAsia="ＭＳ ゴシック"/>
        </w:rPr>
        <w:t>（４）施設・居住系サービス利用者数の推計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_Toc59007878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"_Toc59007879"</w:instrText>
      </w:r>
      <w:r>
        <w:rPr>
          <w:rFonts w:hint="eastAsia"/>
        </w:rPr>
        <w:fldChar w:fldCharType="separate"/>
      </w:r>
      <w:r>
        <w:rPr>
          <w:rFonts w:hint="default" w:ascii="ＭＳ ゴシック" w:hAnsi="ＭＳ ゴシック" w:eastAsia="ＭＳ ゴシック"/>
        </w:rPr>
        <w:t>（５）介護サービス見込量の推計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_Toc59007879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"_Toc59007880"</w:instrText>
      </w:r>
      <w:r>
        <w:rPr>
          <w:rFonts w:hint="eastAsia"/>
        </w:rPr>
        <w:fldChar w:fldCharType="separate"/>
      </w:r>
      <w:r>
        <w:rPr>
          <w:rFonts w:hint="default" w:ascii="ＭＳ ゴシック" w:hAnsi="ＭＳ ゴシック" w:eastAsia="ＭＳ ゴシック"/>
        </w:rPr>
        <w:t>（６）介護予防サービス見込量の推計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_Toc59007880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"_Toc59007881"</w:instrText>
      </w:r>
      <w:r>
        <w:rPr>
          <w:rFonts w:hint="eastAsia"/>
        </w:rPr>
        <w:fldChar w:fldCharType="separate"/>
      </w:r>
      <w:r>
        <w:rPr>
          <w:rFonts w:hint="default" w:ascii="ＭＳ ゴシック" w:hAnsi="ＭＳ ゴシック" w:eastAsia="ＭＳ ゴシック"/>
        </w:rPr>
        <w:t>（７）総給付費の推計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_Toc59007881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"_Toc59007882"</w:instrText>
      </w:r>
      <w:r>
        <w:rPr>
          <w:rFonts w:hint="eastAsia"/>
        </w:rPr>
        <w:fldChar w:fldCharType="separate"/>
      </w:r>
      <w:r>
        <w:rPr>
          <w:rFonts w:hint="default" w:ascii="ＭＳ ゴシック" w:hAnsi="ＭＳ ゴシック" w:eastAsia="ＭＳ ゴシック"/>
        </w:rPr>
        <w:t>（８）標準給付費の推計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_Toc59007882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"_Toc59007883"</w:instrText>
      </w:r>
      <w:r>
        <w:rPr>
          <w:rFonts w:hint="eastAsia"/>
        </w:rPr>
        <w:fldChar w:fldCharType="separate"/>
      </w:r>
      <w:r>
        <w:rPr>
          <w:rFonts w:hint="default" w:ascii="ＭＳ ゴシック" w:hAnsi="ＭＳ ゴシック" w:eastAsia="ＭＳ ゴシック"/>
        </w:rPr>
        <w:t>（９）地域支援事業費の推計</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_Toc59007883 \h </w:instrText>
      </w:r>
      <w:r>
        <w:rPr>
          <w:rFonts w:hint="eastAsia"/>
        </w:rPr>
        <w:fldChar w:fldCharType="separate"/>
      </w:r>
      <w:r>
        <w:rPr>
          <w:rFonts w:hint="default" w:ascii="ＭＳ ゴシック" w:hAnsi="ＭＳ ゴシック" w:eastAsia="ＭＳ ゴシック"/>
        </w:rPr>
        <w:t>129</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"_Toc59007884"</w:instrText>
      </w:r>
      <w:r>
        <w:rPr>
          <w:rFonts w:hint="eastAsia"/>
        </w:rPr>
        <w:fldChar w:fldCharType="separate"/>
      </w:r>
      <w:r>
        <w:rPr>
          <w:rFonts w:hint="default" w:ascii="ＭＳ ゴシック" w:hAnsi="ＭＳ ゴシック" w:eastAsia="ＭＳ ゴシック"/>
        </w:rPr>
        <w:t>２．介護保険施設等の整備（調整中）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_Toc59007884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"_Toc59007885"</w:instrText>
      </w:r>
      <w:r>
        <w:rPr>
          <w:rFonts w:hint="eastAsia"/>
        </w:rPr>
        <w:fldChar w:fldCharType="separate"/>
      </w:r>
      <w:r>
        <w:rPr>
          <w:rFonts w:hint="default" w:ascii="ＭＳ ゴシック" w:hAnsi="ＭＳ ゴシック" w:eastAsia="ＭＳ ゴシック"/>
        </w:rPr>
        <w:t>（１）介護老人福祉施設（特別養護老人ホーム）</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_Toc59007885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"_Toc59007886"</w:instrText>
      </w:r>
      <w:r>
        <w:rPr>
          <w:rFonts w:hint="eastAsia"/>
        </w:rPr>
        <w:fldChar w:fldCharType="separate"/>
      </w:r>
      <w:r>
        <w:rPr>
          <w:rFonts w:hint="default" w:ascii="ＭＳ ゴシック" w:hAnsi="ＭＳ ゴシック" w:eastAsia="ＭＳ ゴシック"/>
        </w:rPr>
        <w:t>（２）介護老人保健施設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_Toc59007886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"_Toc59007887"</w:instrText>
      </w:r>
      <w:r>
        <w:rPr>
          <w:rFonts w:hint="eastAsia"/>
        </w:rPr>
        <w:fldChar w:fldCharType="separate"/>
      </w:r>
      <w:r>
        <w:rPr>
          <w:rFonts w:hint="default" w:ascii="ＭＳ ゴシック" w:hAnsi="ＭＳ ゴシック" w:eastAsia="ＭＳ ゴシック"/>
        </w:rPr>
        <w:t>（３）介護療養型医療施設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_Toc59007887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"_Toc59007888"</w:instrText>
      </w:r>
      <w:r>
        <w:rPr>
          <w:rFonts w:hint="eastAsia"/>
        </w:rPr>
        <w:fldChar w:fldCharType="separate"/>
      </w:r>
      <w:r>
        <w:rPr>
          <w:rFonts w:hint="default" w:ascii="ＭＳ ゴシック" w:hAnsi="ＭＳ ゴシック" w:eastAsia="ＭＳ ゴシック"/>
        </w:rPr>
        <w:t>（４）介護医療院</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_Toc59007888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"_Toc59007889"</w:instrText>
      </w:r>
      <w:r>
        <w:rPr>
          <w:rFonts w:hint="eastAsia"/>
        </w:rPr>
        <w:fldChar w:fldCharType="separate"/>
      </w:r>
      <w:r>
        <w:rPr>
          <w:rFonts w:hint="default" w:ascii="ＭＳ ゴシック" w:hAnsi="ＭＳ ゴシック" w:eastAsia="ＭＳ ゴシック"/>
        </w:rPr>
        <w:t>（５）</w:t>
      </w:r>
      <w:r>
        <w:rPr>
          <w:rFonts w:hint="eastAsia"/>
        </w:rPr>
        <w:fldChar w:fldCharType="end"/>
      </w:r>
      <w:r>
        <w:rPr>
          <w:rFonts w:hint="eastAsia"/>
          <w:fitText w:val="6960" w:id="5"/>
        </w:rPr>
        <w:fldChar w:fldCharType="begin"/>
      </w:r>
      <w:r>
        <w:rPr>
          <w:rFonts w:hint="eastAsia"/>
          <w:fitText w:val="6960" w:id="5"/>
        </w:rPr>
        <w:instrText xml:space="preserve"> HYPERLINK  \l "_Toc59007889"</w:instrText>
      </w:r>
      <w:r>
        <w:rPr>
          <w:rFonts w:hint="eastAsia"/>
          <w:fitText w:val="6960" w:id="5"/>
        </w:rPr>
        <w:fldChar w:fldCharType="separate"/>
      </w:r>
      <w:r>
        <w:rPr>
          <w:rFonts w:hint="default" w:ascii="ＭＳ ゴシック" w:hAnsi="ＭＳ ゴシック" w:eastAsia="ＭＳ ゴシック"/>
          <w:spacing w:val="1"/>
          <w:w w:val="69"/>
          <w:kern w:val="0"/>
          <w:fitText w:val="6960" w:id="5"/>
        </w:rPr>
        <w:t>地域密着型介護老人福祉施設入所者生活介護（定員</w:t>
      </w:r>
      <w:r>
        <w:rPr>
          <w:rFonts w:hint="default" w:ascii="ＭＳ ゴシック" w:hAnsi="ＭＳ ゴシック" w:eastAsia="ＭＳ ゴシック"/>
          <w:spacing w:val="1"/>
          <w:w w:val="69"/>
          <w:kern w:val="0"/>
          <w:fitText w:val="6960" w:id="5"/>
        </w:rPr>
        <w:t>29</w:t>
      </w:r>
      <w:r>
        <w:rPr>
          <w:rFonts w:hint="default" w:ascii="ＭＳ ゴシック" w:hAnsi="ＭＳ ゴシック" w:eastAsia="ＭＳ ゴシック"/>
          <w:spacing w:val="1"/>
          <w:w w:val="69"/>
          <w:kern w:val="0"/>
          <w:fitText w:val="6960" w:id="5"/>
        </w:rPr>
        <w:t>人以下の小規模特別養護老人ホーム</w:t>
      </w:r>
      <w:r>
        <w:rPr>
          <w:rFonts w:hint="default" w:ascii="ＭＳ ゴシック" w:hAnsi="ＭＳ ゴシック" w:eastAsia="ＭＳ ゴシック"/>
          <w:spacing w:val="14"/>
          <w:w w:val="69"/>
          <w:kern w:val="0"/>
          <w:fitText w:val="6960" w:id="5"/>
        </w:rPr>
        <w:t>）</w:t>
      </w:r>
      <w:r>
        <w:rPr>
          <w:rFonts w:hint="eastAsia"/>
          <w:fitText w:val="6960" w:id="5"/>
        </w:rPr>
        <w:fldChar w:fldCharType="end"/>
      </w:r>
      <w:r>
        <w:rPr>
          <w:rFonts w:hint="eastAsia"/>
        </w:rPr>
        <w:fldChar w:fldCharType="begin"/>
      </w:r>
      <w:r>
        <w:rPr>
          <w:rFonts w:hint="eastAsia"/>
        </w:rPr>
        <w:instrText xml:space="preserve"> HYPERLINK  \l "_Toc59007889"</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_Toc59007889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"_Toc59007890"</w:instrText>
      </w:r>
      <w:r>
        <w:rPr>
          <w:rFonts w:hint="eastAsia"/>
        </w:rPr>
        <w:fldChar w:fldCharType="separate"/>
      </w:r>
      <w:r>
        <w:rPr>
          <w:rFonts w:hint="default" w:ascii="ＭＳ ゴシック" w:hAnsi="ＭＳ ゴシック" w:eastAsia="ＭＳ ゴシック"/>
        </w:rPr>
        <w:t>（６）認知症対応型共同生活介護（グループホーム）</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_Toc59007890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"_Toc59007891"</w:instrText>
      </w:r>
      <w:r>
        <w:rPr>
          <w:rFonts w:hint="eastAsia"/>
        </w:rPr>
        <w:fldChar w:fldCharType="separate"/>
      </w:r>
      <w:r>
        <w:rPr>
          <w:rFonts w:hint="default" w:ascii="ＭＳ ゴシック" w:hAnsi="ＭＳ ゴシック" w:eastAsia="ＭＳ ゴシック"/>
        </w:rPr>
        <w:t>（７）特定施設入居者生活介護（介護付き有料老人ホーム）</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_Toc59007891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37"/>
        <w:tabs>
          <w:tab w:val="clear" w:pos="8494"/>
          <w:tab w:val="right" w:leader="middleDot" w:pos="9070"/>
        </w:tabs>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"_Toc59007892"</w:instrText>
      </w:r>
      <w:r>
        <w:rPr>
          <w:rFonts w:hint="eastAsia"/>
        </w:rPr>
        <w:fldChar w:fldCharType="separate"/>
      </w:r>
      <w:r>
        <w:rPr>
          <w:rFonts w:hint="default" w:ascii="ＭＳ ゴシック" w:hAnsi="ＭＳ ゴシック" w:eastAsia="ＭＳ ゴシック"/>
        </w:rPr>
        <w:t>（８）</w:t>
      </w:r>
      <w:r>
        <w:rPr>
          <w:rFonts w:hint="eastAsia"/>
        </w:rPr>
        <w:fldChar w:fldCharType="end"/>
      </w:r>
      <w:r>
        <w:rPr>
          <w:rFonts w:hint="eastAsia"/>
          <w:fitText w:val="6960" w:id="6"/>
        </w:rPr>
        <w:fldChar w:fldCharType="begin"/>
      </w:r>
      <w:r>
        <w:rPr>
          <w:rFonts w:hint="eastAsia"/>
          <w:fitText w:val="6960" w:id="6"/>
        </w:rPr>
        <w:instrText xml:space="preserve"> HYPERLINK  \l "_Toc59007892"</w:instrText>
      </w:r>
      <w:r>
        <w:rPr>
          <w:rFonts w:hint="eastAsia"/>
          <w:fitText w:val="6960" w:id="6"/>
        </w:rPr>
        <w:fldChar w:fldCharType="separate"/>
      </w:r>
      <w:r>
        <w:rPr>
          <w:rFonts w:hint="default" w:ascii="ＭＳ ゴシック" w:hAnsi="ＭＳ ゴシック" w:eastAsia="ＭＳ ゴシック"/>
          <w:spacing w:val="1"/>
          <w:w w:val="87"/>
          <w:kern w:val="0"/>
          <w:fitText w:val="6960" w:id="6"/>
        </w:rPr>
        <w:t>地域密着型特定施設入居者生活介護（小規模の介護付き有料老人ホーム</w:t>
      </w:r>
      <w:r>
        <w:rPr>
          <w:rFonts w:hint="default" w:ascii="ＭＳ ゴシック" w:hAnsi="ＭＳ ゴシック" w:eastAsia="ＭＳ ゴシック"/>
          <w:spacing w:val="12"/>
          <w:w w:val="87"/>
          <w:kern w:val="0"/>
          <w:fitText w:val="6960" w:id="6"/>
        </w:rPr>
        <w:t>）</w:t>
      </w:r>
      <w:r>
        <w:rPr>
          <w:rFonts w:hint="eastAsia"/>
          <w:fitText w:val="6960" w:id="6"/>
        </w:rPr>
        <w:fldChar w:fldCharType="end"/>
      </w:r>
      <w:r>
        <w:rPr>
          <w:rFonts w:hint="eastAsia"/>
        </w:rPr>
        <w:fldChar w:fldCharType="begin"/>
      </w:r>
      <w:r>
        <w:rPr>
          <w:rFonts w:hint="eastAsia"/>
        </w:rPr>
        <w:instrText xml:space="preserve"> HYPERLINK  \l "_Toc59007892"</w:instrText>
      </w:r>
      <w:r>
        <w:rPr>
          <w:rFonts w:hint="eastAsia"/>
        </w:rPr>
        <w:fldChar w:fldCharType="separate"/>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_Toc59007892 \h </w:instrText>
      </w:r>
      <w:r>
        <w:rPr>
          <w:rFonts w:hint="eastAsia"/>
        </w:rPr>
        <w:fldChar w:fldCharType="separate"/>
      </w:r>
      <w:r>
        <w:rPr>
          <w:rFonts w:hint="default" w:ascii="ＭＳ ゴシック" w:hAnsi="ＭＳ ゴシック" w:eastAsia="ＭＳ ゴシック"/>
        </w:rPr>
        <w:t>130</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"_Toc59007893"</w:instrText>
      </w:r>
      <w:r>
        <w:rPr>
          <w:rFonts w:hint="eastAsia"/>
        </w:rPr>
        <w:fldChar w:fldCharType="separate"/>
      </w:r>
      <w:r>
        <w:rPr>
          <w:rFonts w:hint="default" w:ascii="ＭＳ ゴシック" w:hAnsi="ＭＳ ゴシック" w:eastAsia="ＭＳ ゴシック"/>
        </w:rPr>
        <w:t>３．保険料の算定（調整中）</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_Toc59007893 \h </w:instrText>
      </w:r>
      <w:r>
        <w:rPr>
          <w:rFonts w:hint="eastAsia"/>
        </w:rPr>
        <w:fldChar w:fldCharType="separate"/>
      </w:r>
      <w:r>
        <w:rPr>
          <w:rFonts w:hint="default" w:ascii="ＭＳ ゴシック" w:hAnsi="ＭＳ ゴシック" w:eastAsia="ＭＳ ゴシック"/>
        </w:rPr>
        <w:t>131</w:t>
      </w:r>
      <w:r>
        <w:rPr>
          <w:rFonts w:hint="eastAsia"/>
        </w:rPr>
        <w:fldChar w:fldCharType="end"/>
      </w: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"_Toc59007894"</w:instrText>
      </w:r>
      <w:r>
        <w:rPr>
          <w:rFonts w:hint="eastAsia"/>
        </w:rPr>
        <w:fldChar w:fldCharType="separate"/>
      </w:r>
      <w:r>
        <w:rPr>
          <w:rFonts w:hint="default" w:ascii="ＭＳ ゴシック" w:hAnsi="ＭＳ ゴシック" w:eastAsia="ＭＳ ゴシック"/>
        </w:rPr>
        <w:t>第６章　計画の推進体制</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_Toc59007894 \h </w:instrText>
      </w:r>
      <w:r>
        <w:rPr>
          <w:rFonts w:hint="eastAsia"/>
        </w:rPr>
        <w:fldChar w:fldCharType="separate"/>
      </w:r>
      <w:r>
        <w:rPr>
          <w:rFonts w:hint="default" w:ascii="ＭＳ ゴシック" w:hAnsi="ＭＳ ゴシック" w:eastAsia="ＭＳ ゴシック"/>
        </w:rPr>
        <w:t>132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"_Toc59007895"</w:instrText>
      </w:r>
      <w:r>
        <w:rPr>
          <w:rFonts w:hint="eastAsia"/>
        </w:rPr>
        <w:fldChar w:fldCharType="separate"/>
      </w:r>
      <w:r>
        <w:rPr>
          <w:rFonts w:hint="default" w:ascii="ＭＳ ゴシック" w:hAnsi="ＭＳ ゴシック" w:eastAsia="ＭＳ ゴシック"/>
        </w:rPr>
        <w:t>１．計画の進行管理</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_Toc59007895 \h </w:instrText>
      </w:r>
      <w:r>
        <w:rPr>
          <w:rFonts w:hint="eastAsia"/>
        </w:rPr>
        <w:fldChar w:fldCharType="separate"/>
      </w:r>
      <w:r>
        <w:rPr>
          <w:rFonts w:hint="default" w:ascii="ＭＳ ゴシック" w:hAnsi="ＭＳ ゴシック" w:eastAsia="ＭＳ ゴシック"/>
        </w:rPr>
        <w:t>132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"_Toc59007896"</w:instrText>
      </w:r>
      <w:r>
        <w:rPr>
          <w:rFonts w:hint="eastAsia"/>
        </w:rPr>
        <w:fldChar w:fldCharType="separate"/>
      </w:r>
      <w:r>
        <w:rPr>
          <w:rFonts w:hint="default" w:ascii="ＭＳ ゴシック" w:hAnsi="ＭＳ ゴシック" w:eastAsia="ＭＳ ゴシック"/>
        </w:rPr>
        <w:t>２．庁内における連携体制の強化</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_Toc59007896 \h </w:instrText>
      </w:r>
      <w:r>
        <w:rPr>
          <w:rFonts w:hint="eastAsia"/>
        </w:rPr>
        <w:fldChar w:fldCharType="separate"/>
      </w:r>
      <w:r>
        <w:rPr>
          <w:rFonts w:hint="default" w:ascii="ＭＳ ゴシック" w:hAnsi="ＭＳ ゴシック" w:eastAsia="ＭＳ ゴシック"/>
        </w:rPr>
        <w:t>132</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"_Toc59007897"</w:instrText>
      </w:r>
      <w:r>
        <w:rPr>
          <w:rFonts w:hint="eastAsia"/>
        </w:rPr>
        <w:fldChar w:fldCharType="separate"/>
      </w:r>
      <w:r>
        <w:rPr>
          <w:rFonts w:hint="default" w:ascii="ＭＳ ゴシック" w:hAnsi="ＭＳ ゴシック" w:eastAsia="ＭＳ ゴシック"/>
        </w:rPr>
        <w:t>３．関係機関・団体や民間事業者等との連携</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_Toc59007897 \h </w:instrText>
      </w:r>
      <w:r>
        <w:rPr>
          <w:rFonts w:hint="eastAsia"/>
        </w:rPr>
        <w:fldChar w:fldCharType="separate"/>
      </w:r>
      <w:r>
        <w:rPr>
          <w:rFonts w:hint="default" w:ascii="ＭＳ ゴシック" w:hAnsi="ＭＳ ゴシック" w:eastAsia="ＭＳ ゴシック"/>
        </w:rPr>
        <w:t>132</w:t>
      </w:r>
      <w:r>
        <w:rPr>
          <w:rFonts w:hint="eastAsia"/>
        </w:rPr>
        <w:fldChar w:fldCharType="end"/>
      </w:r>
    </w:p>
    <w:p>
      <w:pPr>
        <w:pStyle w:val="27"/>
        <w:tabs>
          <w:tab w:val="right" w:leader="middleDot" w:pos="9060"/>
        </w:tabs>
        <w:ind w:left="24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"_Toc59007898"</w:instrText>
      </w:r>
      <w:r>
        <w:rPr>
          <w:rFonts w:hint="eastAsia"/>
        </w:rPr>
        <w:fldChar w:fldCharType="separate"/>
      </w:r>
      <w:r>
        <w:rPr>
          <w:rFonts w:hint="default" w:ascii="ＭＳ ゴシック" w:hAnsi="ＭＳ ゴシック" w:eastAsia="ＭＳ ゴシック"/>
        </w:rPr>
        <w:t>資料編</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_Toc59007898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"_Toc59007899"</w:instrText>
      </w:r>
      <w:r>
        <w:rPr>
          <w:rFonts w:hint="eastAsia"/>
        </w:rPr>
        <w:fldChar w:fldCharType="separate"/>
      </w:r>
      <w:r>
        <w:rPr>
          <w:rFonts w:hint="default" w:ascii="ＭＳ ゴシック" w:hAnsi="ＭＳ ゴシック" w:eastAsia="ＭＳ ゴシック"/>
        </w:rPr>
        <w:t>１．地域保健及び地域福祉の施策について</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_Toc59007899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"_Toc59007900"</w:instrText>
      </w:r>
      <w:r>
        <w:rPr>
          <w:rFonts w:hint="eastAsia"/>
        </w:rPr>
        <w:fldChar w:fldCharType="separate"/>
      </w:r>
      <w:r>
        <w:rPr>
          <w:rFonts w:hint="default" w:ascii="ＭＳ ゴシック" w:hAnsi="ＭＳ ゴシック" w:eastAsia="ＭＳ ゴシック"/>
        </w:rPr>
        <w:t>２．箕面市保健医療福祉総合審議会</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_Toc59007900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"_Toc59007901"</w:instrText>
      </w:r>
      <w:r>
        <w:rPr>
          <w:rFonts w:hint="eastAsia"/>
        </w:rPr>
        <w:fldChar w:fldCharType="separate"/>
      </w:r>
      <w:r>
        <w:rPr>
          <w:rFonts w:hint="default" w:ascii="ＭＳ ゴシック" w:hAnsi="ＭＳ ゴシック" w:eastAsia="ＭＳ ゴシック"/>
        </w:rPr>
        <w:t>３．箕面市介護サービス評価専門員会議</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_Toc59007901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"_Toc59007902"</w:instrText>
      </w:r>
      <w:r>
        <w:rPr>
          <w:rFonts w:hint="eastAsia"/>
        </w:rPr>
        <w:fldChar w:fldCharType="separate"/>
      </w:r>
      <w:r>
        <w:rPr>
          <w:rFonts w:hint="default" w:ascii="ＭＳ ゴシック" w:hAnsi="ＭＳ ゴシック" w:eastAsia="ＭＳ ゴシック"/>
        </w:rPr>
        <w:t>４．箕面市高齢者等介護総合条例</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_Toc59007902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"_Toc59007903"</w:instrText>
      </w:r>
      <w:r>
        <w:rPr>
          <w:rFonts w:hint="eastAsia"/>
        </w:rPr>
        <w:fldChar w:fldCharType="separate"/>
      </w:r>
      <w:r>
        <w:rPr>
          <w:rFonts w:hint="default" w:ascii="ＭＳ ゴシック" w:hAnsi="ＭＳ ゴシック" w:eastAsia="ＭＳ ゴシック"/>
        </w:rPr>
        <w:t>５．第１号被保険者の保険料推計報告書</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_Toc59007903 \h </w:instrText>
      </w:r>
      <w:r>
        <w:rPr>
          <w:rFonts w:hint="eastAsia"/>
        </w:rPr>
        <w:fldChar w:fldCharType="separate"/>
      </w:r>
      <w:r>
        <w:rPr>
          <w:rFonts w:hint="default" w:ascii="ＭＳ ゴシック" w:hAnsi="ＭＳ ゴシック" w:eastAsia="ＭＳ ゴシック"/>
        </w:rPr>
        <w:t>133</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"_Toc59007904"</w:instrText>
      </w:r>
      <w:r>
        <w:rPr>
          <w:rFonts w:hint="eastAsia"/>
        </w:rPr>
        <w:fldChar w:fldCharType="separate"/>
      </w:r>
      <w:r>
        <w:rPr>
          <w:rFonts w:hint="default" w:ascii="ＭＳ ゴシック" w:hAnsi="ＭＳ ゴシック" w:eastAsia="ＭＳ ゴシック"/>
        </w:rPr>
        <w:t>６．用語解説</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_Toc59007904 \h </w:instrText>
      </w:r>
      <w:r>
        <w:rPr>
          <w:rFonts w:hint="eastAsia"/>
        </w:rPr>
        <w:fldChar w:fldCharType="separate"/>
      </w:r>
      <w:r>
        <w:rPr>
          <w:rFonts w:hint="default" w:ascii="ＭＳ ゴシック" w:hAnsi="ＭＳ ゴシック" w:eastAsia="ＭＳ ゴシック"/>
        </w:rPr>
        <w:t>134</w:t>
      </w:r>
      <w:r>
        <w:rPr>
          <w:rFonts w:hint="eastAsia"/>
        </w:rPr>
        <w:fldChar w:fldCharType="end"/>
      </w:r>
    </w:p>
    <w:p>
      <w:pPr>
        <w:pStyle w:val="29"/>
        <w:tabs>
          <w:tab w:val="right" w:leader="middleDot" w:pos="9060"/>
        </w:tabs>
        <w:ind w:left="480"/>
        <w:rPr>
          <w:rFonts w:hint="default" w:ascii="ＭＳ ゴシック" w:hAnsi="ＭＳ ゴシック" w:eastAsia="ＭＳ ゴシック"/>
          <w:sz w:val="21"/>
        </w:rPr>
      </w:pPr>
      <w:r>
        <w:rPr>
          <w:rFonts w:hint="eastAsia"/>
        </w:rPr>
        <w:fldChar w:fldCharType="begin"/>
      </w:r>
      <w:r>
        <w:rPr>
          <w:rFonts w:hint="eastAsia"/>
        </w:rPr>
        <w:instrText xml:space="preserve"> HYPERLINK  \l "_Toc59007905"</w:instrText>
      </w:r>
      <w:r>
        <w:rPr>
          <w:rFonts w:hint="eastAsia"/>
        </w:rPr>
        <w:fldChar w:fldCharType="separate"/>
      </w:r>
      <w:r>
        <w:rPr>
          <w:rFonts w:hint="default" w:ascii="ＭＳ ゴシック" w:hAnsi="ＭＳ ゴシック" w:eastAsia="ＭＳ ゴシック"/>
        </w:rPr>
        <w:t>７．介護保険サービスの内容</w:t>
      </w:r>
      <w:r>
        <w:rPr>
          <w:rFonts w:hint="default" w:ascii="ＭＳ ゴシック" w:hAnsi="ＭＳ ゴシック" w:eastAsia="ＭＳ ゴシック"/>
        </w:rPr>
        <w:tab/>
      </w:r>
      <w:r>
        <w:rPr>
          <w:rFonts w:hint="eastAsia"/>
        </w:rPr>
        <w:fldChar w:fldCharType="end"/>
      </w:r>
      <w:r>
        <w:rPr>
          <w:rFonts w:hint="eastAsia"/>
        </w:rPr>
        <w:fldChar w:fldCharType="begin"/>
      </w:r>
      <w:r>
        <w:rPr>
          <w:rFonts w:hint="default" w:ascii="ＭＳ ゴシック" w:hAnsi="ＭＳ ゴシック" w:eastAsia="ＭＳ ゴシック"/>
        </w:rPr>
        <w:instrText xml:space="preserve">PageRef _Toc59007905 \h </w:instrText>
      </w:r>
      <w:r>
        <w:rPr>
          <w:rFonts w:hint="eastAsia"/>
        </w:rPr>
        <w:fldChar w:fldCharType="separate"/>
      </w:r>
      <w:r>
        <w:rPr>
          <w:rFonts w:hint="default" w:ascii="ＭＳ ゴシック" w:hAnsi="ＭＳ ゴシック" w:eastAsia="ＭＳ ゴシック"/>
        </w:rPr>
        <w:t>140</w:t>
      </w:r>
      <w:r>
        <w:rPr>
          <w:rFonts w:hint="eastAsia"/>
        </w:rPr>
        <w:fldChar w:fldCharType="end"/>
      </w:r>
    </w:p>
    <w:p>
      <w:pPr>
        <w:pStyle w:val="0"/>
        <w:rPr>
          <w:rFonts w:hint="default" w:ascii="ＭＳ ゴシック" w:hAnsi="ＭＳ ゴシック" w:eastAsia="ＭＳ ゴシック"/>
        </w:rPr>
      </w:pPr>
      <w:r>
        <w:rPr>
          <w:rFonts w:hint="default" w:ascii="ＭＳ ゴシック" w:hAnsi="ＭＳ ゴシック" w:eastAsia="ＭＳ ゴシック"/>
        </w:rPr>
        <w:fldChar w:fldCharType="end"/>
      </w:r>
    </w:p>
    <w:p>
      <w:pPr>
        <w:pStyle w:val="0"/>
        <w:rPr>
          <w:rFonts w:hint="default" w:ascii="ＭＳ ゴシック" w:hAnsi="ＭＳ ゴシック" w:eastAsia="ＭＳ ゴシック"/>
        </w:rPr>
      </w:pPr>
    </w:p>
    <w:p>
      <w:pPr>
        <w:rPr>
          <w:rFonts w:hint="default"/>
        </w:rPr>
        <w:sectPr>
          <w:pgSz w:w="11906" w:h="16838"/>
          <w:pgMar w:top="1985" w:right="1418" w:bottom="1418" w:left="1418" w:header="851" w:footer="567" w:gutter="0"/>
          <w:cols w:space="720"/>
          <w:textDirection w:val="lrTb"/>
          <w:docGrid w:type="lines" w:linePitch="360"/>
        </w:sectPr>
      </w:pPr>
    </w:p>
    <w:p>
      <w:pPr>
        <w:pStyle w:val="2"/>
        <w:rPr>
          <w:rFonts w:hint="default"/>
        </w:rPr>
      </w:pPr>
      <w:bookmarkStart w:id="1" w:name="_Toc59007733"/>
      <w:r>
        <w:rPr>
          <w:rFonts w:hint="eastAsia"/>
        </w:rPr>
        <w:drawing>
          <wp:anchor distT="0" distB="0" distL="114300" distR="114300" simplePos="0" relativeHeight="120" behindDoc="0" locked="0" layoutInCell="1" hidden="0" allowOverlap="1">
            <wp:simplePos x="0" y="0"/>
            <wp:positionH relativeFrom="column">
              <wp:posOffset>0</wp:posOffset>
            </wp:positionH>
            <wp:positionV relativeFrom="paragraph">
              <wp:posOffset>-431800</wp:posOffset>
            </wp:positionV>
            <wp:extent cx="6188710" cy="837565"/>
            <wp:effectExtent l="0" t="0" r="0" b="0"/>
            <wp:wrapNone/>
            <wp:docPr id="1028" name="1-1.bmp"/>
            <a:graphic xmlns:a="http://schemas.openxmlformats.org/drawingml/2006/main">
              <a:graphicData uri="http://schemas.openxmlformats.org/drawingml/2006/picture">
                <pic:pic xmlns:pic="http://schemas.openxmlformats.org/drawingml/2006/picture">
                  <pic:nvPicPr>
                    <pic:cNvPr id="1028" name="1-1.bmp"/>
                    <pic:cNvPicPr/>
                  </pic:nvPicPr>
                  <pic:blipFill>
                    <a:blip r:embed="rId9"/>
                    <a:stretch>
                      <a:fillRect/>
                    </a:stretch>
                  </pic:blipFill>
                  <pic:spPr>
                    <a:xfrm>
                      <a:off x="0" y="0"/>
                      <a:ext cx="6188710" cy="837565"/>
                    </a:xfrm>
                    <a:prstGeom prst="rect">
                      <a:avLst/>
                    </a:prstGeom>
                  </pic:spPr>
                </pic:pic>
              </a:graphicData>
            </a:graphic>
          </wp:anchor>
        </w:drawing>
      </w:r>
      <w:r>
        <w:rPr>
          <w:rFonts w:hint="eastAsia"/>
        </w:rPr>
        <w:t>第１章　計画の概要</w:t>
      </w:r>
      <w:bookmarkEnd w:id="1"/>
    </w:p>
    <w:p>
      <w:pPr>
        <w:pStyle w:val="3"/>
        <w:ind w:left="0" w:leftChars="0"/>
        <w:rPr>
          <w:rFonts w:hint="default" w:ascii="メイリオ" w:hAnsi="メイリオ" w:eastAsia="メイリオ"/>
          <w:b w:val="1"/>
          <w:sz w:val="28"/>
          <w:u w:val="single" w:color="auto"/>
        </w:rPr>
      </w:pPr>
      <w:bookmarkStart w:id="2" w:name="_Toc59007734"/>
      <w:r>
        <w:rPr>
          <w:rFonts w:hint="eastAsia" w:ascii="メイリオ" w:hAnsi="メイリオ" w:eastAsia="メイリオ"/>
          <w:b w:val="1"/>
          <w:sz w:val="32"/>
          <w:u w:val="single" w:color="auto"/>
        </w:rPr>
        <w:t>１．計画策定の趣旨と背景</w:t>
      </w:r>
      <w:bookmarkEnd w:id="2"/>
      <w:r>
        <w:rPr>
          <w:rFonts w:hint="eastAsia" w:ascii="メイリオ" w:hAnsi="メイリオ" w:eastAsia="メイリオ"/>
          <w:b w:val="1"/>
          <w:sz w:val="28"/>
          <w:u w:val="single" w:color="auto"/>
        </w:rPr>
        <w:t>　　　　　　　　　　　　　　　　　　　　　　　　　　　　</w:t>
      </w:r>
    </w:p>
    <w:p>
      <w:pPr>
        <w:pStyle w:val="0"/>
        <w:ind w:firstLine="240" w:firstLineChars="100"/>
        <w:jc w:val="both"/>
        <w:rPr>
          <w:rFonts w:hint="default"/>
        </w:rPr>
      </w:pPr>
      <w:r>
        <w:rPr>
          <w:rFonts w:hint="eastAsia"/>
        </w:rPr>
        <w:t>わが国の総人口は、令和元年</w:t>
      </w:r>
      <w:r>
        <w:rPr>
          <w:rFonts w:hint="default"/>
        </w:rPr>
        <w:t>(2019</w:t>
      </w:r>
      <w:r>
        <w:rPr>
          <w:rFonts w:hint="default"/>
        </w:rPr>
        <w:t>年</w:t>
      </w:r>
      <w:r>
        <w:rPr>
          <w:rFonts w:hint="default"/>
        </w:rPr>
        <w:t>)10</w:t>
      </w:r>
      <w:r>
        <w:rPr>
          <w:rFonts w:hint="default"/>
        </w:rPr>
        <w:t>月１日現在、１億</w:t>
      </w:r>
      <w:r>
        <w:rPr>
          <w:rFonts w:hint="default"/>
        </w:rPr>
        <w:t>2,617</w:t>
      </w:r>
      <w:r>
        <w:rPr>
          <w:rFonts w:hint="default"/>
        </w:rPr>
        <w:t>万人となっており、</w:t>
      </w:r>
      <w:r>
        <w:rPr>
          <w:rFonts w:hint="default"/>
        </w:rPr>
        <w:t>65</w:t>
      </w:r>
      <w:r>
        <w:rPr>
          <w:rFonts w:hint="default"/>
        </w:rPr>
        <w:t>歳以上の高齢者人口は</w:t>
      </w:r>
      <w:r>
        <w:rPr>
          <w:rFonts w:hint="default"/>
        </w:rPr>
        <w:t>3,589</w:t>
      </w:r>
      <w:r>
        <w:rPr>
          <w:rFonts w:hint="default"/>
        </w:rPr>
        <w:t>万人、総人口に占める高齢者人口の割合（高齢化率）</w:t>
      </w:r>
      <w:r>
        <w:rPr>
          <w:rFonts w:hint="eastAsia"/>
        </w:rPr>
        <w:t>は</w:t>
      </w:r>
      <w:r>
        <w:rPr>
          <w:rFonts w:hint="default"/>
        </w:rPr>
        <w:t>28.4</w:t>
      </w:r>
      <w:r>
        <w:rPr>
          <w:rFonts w:hint="default"/>
        </w:rPr>
        <w:t>％となっています。</w:t>
      </w:r>
    </w:p>
    <w:p>
      <w:pPr>
        <w:pStyle w:val="0"/>
        <w:ind w:firstLine="240" w:firstLineChars="100"/>
        <w:jc w:val="both"/>
        <w:rPr>
          <w:rFonts w:hint="default"/>
        </w:rPr>
      </w:pPr>
      <w:r>
        <w:rPr>
          <w:rFonts w:hint="eastAsia"/>
        </w:rPr>
        <w:t>高齢者人口は、令和</w:t>
      </w:r>
      <w:r>
        <w:rPr>
          <w:rFonts w:hint="eastAsia"/>
        </w:rPr>
        <w:t>24</w:t>
      </w:r>
      <w:r>
        <w:rPr>
          <w:rFonts w:hint="eastAsia"/>
        </w:rPr>
        <w:t>年</w:t>
      </w:r>
      <w:r>
        <w:rPr>
          <w:rFonts w:hint="default"/>
        </w:rPr>
        <w:t>(204</w:t>
      </w:r>
      <w:r>
        <w:rPr>
          <w:rFonts w:hint="eastAsia"/>
        </w:rPr>
        <w:t>2</w:t>
      </w:r>
      <w:r>
        <w:rPr>
          <w:rFonts w:hint="default"/>
        </w:rPr>
        <w:t>年</w:t>
      </w:r>
      <w:r>
        <w:rPr>
          <w:rFonts w:hint="eastAsia"/>
        </w:rPr>
        <w:t>)</w:t>
      </w:r>
      <w:r>
        <w:rPr>
          <w:rFonts w:hint="default"/>
        </w:rPr>
        <w:t>にピークを迎えるとされる中、</w:t>
      </w:r>
      <w:r>
        <w:rPr>
          <w:rFonts w:hint="eastAsia"/>
        </w:rPr>
        <w:t>令和７</w:t>
      </w:r>
      <w:r>
        <w:rPr>
          <w:rFonts w:hint="default"/>
        </w:rPr>
        <w:t>年</w:t>
      </w:r>
      <w:r>
        <w:rPr>
          <w:rFonts w:hint="eastAsia"/>
        </w:rPr>
        <w:t>(2025</w:t>
      </w:r>
      <w:r>
        <w:rPr>
          <w:rFonts w:hint="eastAsia"/>
        </w:rPr>
        <w:t>年</w:t>
      </w:r>
      <w:r>
        <w:rPr>
          <w:rFonts w:hint="eastAsia"/>
        </w:rPr>
        <w:t>)</w:t>
      </w:r>
      <w:r>
        <w:rPr>
          <w:rFonts w:hint="default"/>
        </w:rPr>
        <w:t>以降は「高齢者の急増」から「現役世代人口の急減」に局面が変化する</w:t>
      </w:r>
      <w:r>
        <w:rPr>
          <w:rFonts w:hint="eastAsia"/>
        </w:rPr>
        <w:t>と見込まれており、</w:t>
      </w:r>
      <w:r>
        <w:rPr>
          <w:rFonts w:hint="default"/>
        </w:rPr>
        <w:t>社会活力を維持・向上するためには、現役世代人口が急減する中で、高齢者をはじめとする多様な就労・社会参加を促進するための「健康寿命の延伸」や労働力の制約が強まる中での「医療・介護サービスの確保」</w:t>
      </w:r>
      <w:r>
        <w:rPr>
          <w:rFonts w:hint="eastAsia"/>
        </w:rPr>
        <w:t>が求められています。</w:t>
      </w:r>
    </w:p>
    <w:p>
      <w:pPr>
        <w:pStyle w:val="0"/>
        <w:ind w:firstLine="240" w:firstLineChars="100"/>
        <w:jc w:val="both"/>
        <w:rPr>
          <w:rFonts w:hint="default"/>
        </w:rPr>
      </w:pPr>
      <w:r>
        <w:rPr>
          <w:rFonts w:hint="eastAsia"/>
        </w:rPr>
        <w:t>また、地域共生社会の実現を図るため、令和２年</w:t>
      </w:r>
      <w:r>
        <w:rPr>
          <w:rFonts w:hint="eastAsia"/>
        </w:rPr>
        <w:t>(</w:t>
      </w:r>
      <w:r>
        <w:rPr>
          <w:rFonts w:hint="default"/>
        </w:rPr>
        <w:t>2020</w:t>
      </w:r>
      <w:r>
        <w:rPr>
          <w:rFonts w:hint="eastAsia"/>
        </w:rPr>
        <w:t>年</w:t>
      </w:r>
      <w:r>
        <w:rPr>
          <w:rFonts w:hint="default"/>
        </w:rPr>
        <w:t>)</w:t>
      </w:r>
      <w:r>
        <w:rPr>
          <w:rFonts w:hint="eastAsia"/>
        </w:rPr>
        <w:t>６月</w:t>
      </w:r>
      <w:r>
        <w:rPr>
          <w:rFonts w:hint="default"/>
        </w:rPr>
        <w:t>には</w:t>
      </w:r>
      <w:r>
        <w:rPr>
          <w:rFonts w:hint="eastAsia"/>
        </w:rPr>
        <w:t>「地域共生社会の実現のための社会福祉法等の一部を改正する法律」</w:t>
      </w:r>
      <w:r>
        <w:rPr>
          <w:rFonts w:hint="default"/>
        </w:rPr>
        <w:t>が成立し、</w:t>
      </w:r>
      <w:r>
        <w:rPr>
          <w:rFonts w:hint="eastAsia"/>
        </w:rPr>
        <w:t>地域</w:t>
      </w:r>
      <w:r>
        <w:rPr>
          <w:rFonts w:hint="default"/>
        </w:rPr>
        <w:t>住民の複雑化・複合化した支援ニーズに対応する包括的な福祉サービス提供体制を整備する観点</w:t>
      </w:r>
      <w:r>
        <w:rPr>
          <w:rFonts w:hint="eastAsia"/>
        </w:rPr>
        <w:t>から、市町村の包括的な支援</w:t>
      </w:r>
      <w:r>
        <w:rPr>
          <w:rFonts w:hint="default"/>
        </w:rPr>
        <w:t>体制の構築の支援、地域の特性に応じた認知症施策や介護サービス提供体制の整備等の推進、医療・介護の</w:t>
      </w:r>
      <w:r>
        <w:rPr>
          <w:rFonts w:hint="eastAsia"/>
        </w:rPr>
        <w:t>データ基盤の整備の推進</w:t>
      </w:r>
      <w:r>
        <w:rPr>
          <w:rFonts w:hint="default"/>
        </w:rPr>
        <w:t>、介護人材確保及び業務効率化の取組の強化、社会福祉連携推進法人制度の創設等</w:t>
      </w:r>
      <w:r>
        <w:rPr>
          <w:rFonts w:hint="eastAsia"/>
        </w:rPr>
        <w:t>が実施されます。</w:t>
      </w:r>
    </w:p>
    <w:p>
      <w:pPr>
        <w:pStyle w:val="0"/>
        <w:jc w:val="both"/>
        <w:rPr>
          <w:rFonts w:hint="default"/>
        </w:rPr>
      </w:pPr>
      <w:r>
        <w:rPr>
          <w:rFonts w:hint="eastAsia"/>
        </w:rPr>
        <w:t>　以上のような動向をふまえながら、第７期計画の取組を継承しつつ、市内で生活するすべての高齢者が、生きがいを持って安心して生活できる環境を実現するために、「第８期高齢者保健福祉計画・介護保険事業計画」（以下、「本計画」という。）を策定するものです。</w:t>
      </w:r>
    </w:p>
    <w:p>
      <w:pPr>
        <w:pStyle w:val="0"/>
        <w:rPr>
          <w:rFonts w:hint="default"/>
        </w:rPr>
      </w:pPr>
    </w:p>
    <w:p>
      <w:pPr>
        <w:pStyle w:val="3"/>
        <w:ind w:left="0" w:leftChars="0"/>
        <w:rPr>
          <w:rFonts w:hint="default" w:ascii="メイリオ" w:hAnsi="メイリオ" w:eastAsia="メイリオ"/>
          <w:b w:val="1"/>
          <w:sz w:val="28"/>
          <w:u w:val="single" w:color="auto"/>
        </w:rPr>
      </w:pPr>
      <w:bookmarkStart w:id="3" w:name="_Toc59007735"/>
      <w:r>
        <w:rPr>
          <w:rFonts w:hint="eastAsia" w:ascii="メイリオ" w:hAnsi="メイリオ" w:eastAsia="メイリオ"/>
          <w:b w:val="1"/>
          <w:sz w:val="32"/>
          <w:u w:val="single" w:color="auto"/>
        </w:rPr>
        <w:t>２．計画の位置付け</w:t>
      </w:r>
      <w:bookmarkEnd w:id="3"/>
      <w:r>
        <w:rPr>
          <w:rFonts w:hint="eastAsia" w:ascii="メイリオ" w:hAnsi="メイリオ" w:eastAsia="メイリオ"/>
          <w:b w:val="1"/>
          <w:sz w:val="28"/>
          <w:u w:val="single" w:color="auto"/>
        </w:rPr>
        <w:t>　　　　　　　　　　　　　　　　　　　　　　　　　　　　　　　　　</w:t>
      </w:r>
    </w:p>
    <w:p>
      <w:pPr>
        <w:pStyle w:val="4"/>
        <w:ind w:left="0" w:leftChars="0"/>
        <w:rPr>
          <w:rFonts w:hint="default" w:ascii="メイリオ" w:hAnsi="メイリオ" w:eastAsia="メイリオ"/>
          <w:b w:val="0"/>
          <w:sz w:val="28"/>
        </w:rPr>
      </w:pPr>
      <w:bookmarkStart w:id="4" w:name="_Toc59007736"/>
      <w:r>
        <w:rPr>
          <w:rFonts w:hint="eastAsia" w:ascii="メイリオ" w:hAnsi="メイリオ" w:eastAsia="メイリオ"/>
          <w:b w:val="0"/>
          <w:sz w:val="28"/>
        </w:rPr>
        <w:t>（１）法的位置付け</w:t>
      </w:r>
      <w:bookmarkEnd w:id="4"/>
    </w:p>
    <w:p>
      <w:pPr>
        <w:pStyle w:val="0"/>
        <w:ind w:firstLine="240" w:firstLineChars="100"/>
        <w:jc w:val="both"/>
        <w:rPr>
          <w:rFonts w:hint="default"/>
        </w:rPr>
      </w:pPr>
      <w:r>
        <w:rPr>
          <w:rFonts w:hint="eastAsia"/>
        </w:rPr>
        <w:t>本計画は、本市における高齢者保健福祉事業及び介護保険事業の方向性と、これら各事業の円滑な実施、推進に資することを目的として策定する計画で、老人福祉法（昭和</w:t>
      </w:r>
      <w:r>
        <w:rPr>
          <w:rFonts w:hint="default"/>
        </w:rPr>
        <w:t>38</w:t>
      </w:r>
      <w:r>
        <w:rPr>
          <w:rFonts w:hint="default"/>
        </w:rPr>
        <w:t>年法律第</w:t>
      </w:r>
      <w:r>
        <w:rPr>
          <w:rFonts w:hint="default"/>
        </w:rPr>
        <w:t>133</w:t>
      </w:r>
      <w:r>
        <w:rPr>
          <w:rFonts w:hint="default"/>
        </w:rPr>
        <w:t>号）第</w:t>
      </w:r>
      <w:r>
        <w:rPr>
          <w:rFonts w:hint="default"/>
        </w:rPr>
        <w:t>20</w:t>
      </w:r>
      <w:r>
        <w:rPr>
          <w:rFonts w:hint="default"/>
        </w:rPr>
        <w:t>条の８に規定する「老人福祉計画」及び介護保険法（平成９年法律第</w:t>
      </w:r>
      <w:r>
        <w:rPr>
          <w:rFonts w:hint="default"/>
        </w:rPr>
        <w:t>123</w:t>
      </w:r>
      <w:r>
        <w:rPr>
          <w:rFonts w:hint="default"/>
        </w:rPr>
        <w:t>号）第</w:t>
      </w:r>
      <w:r>
        <w:rPr>
          <w:rFonts w:hint="default"/>
        </w:rPr>
        <w:t>117</w:t>
      </w:r>
      <w:r>
        <w:rPr>
          <w:rFonts w:hint="default"/>
        </w:rPr>
        <w:t>条に規定する「介護保険事業計画」を一体的に「高齢者保健福祉計画・介護保険事業計画」として策定します。</w:t>
      </w:r>
    </w:p>
    <w:p>
      <w:pPr>
        <w:pStyle w:val="0"/>
        <w:ind w:firstLine="240" w:firstLineChars="100"/>
        <w:jc w:val="both"/>
        <w:rPr>
          <w:rFonts w:hint="default"/>
        </w:rPr>
      </w:pPr>
      <w:r>
        <w:rPr>
          <w:rFonts w:hint="eastAsia"/>
        </w:rPr>
        <w:t>なお、第３期計画まで一体のものとして策定してきた「老人保健計画」に係る内容については、平成</w:t>
      </w:r>
      <w:r>
        <w:rPr>
          <w:rFonts w:hint="default"/>
        </w:rPr>
        <w:t>20</w:t>
      </w:r>
      <w:r>
        <w:rPr>
          <w:rFonts w:hint="default"/>
        </w:rPr>
        <w:t>年</w:t>
      </w:r>
      <w:r>
        <w:rPr>
          <w:rFonts w:hint="eastAsia"/>
        </w:rPr>
        <w:t>(</w:t>
      </w:r>
      <w:r>
        <w:rPr>
          <w:rFonts w:hint="default"/>
        </w:rPr>
        <w:t>2008</w:t>
      </w:r>
      <w:r>
        <w:rPr>
          <w:rFonts w:hint="default"/>
        </w:rPr>
        <w:t>年</w:t>
      </w:r>
      <w:r>
        <w:rPr>
          <w:rFonts w:hint="eastAsia"/>
        </w:rPr>
        <w:t>)</w:t>
      </w:r>
      <w:r>
        <w:rPr>
          <w:rFonts w:hint="default"/>
        </w:rPr>
        <w:t>４月の老人保健法の改正により、第４期計画以降は、健康増進法（平成</w:t>
      </w:r>
      <w:r>
        <w:rPr>
          <w:rFonts w:hint="default"/>
        </w:rPr>
        <w:t>14</w:t>
      </w:r>
      <w:r>
        <w:rPr>
          <w:rFonts w:hint="default"/>
        </w:rPr>
        <w:t>年法律第</w:t>
      </w:r>
      <w:r>
        <w:rPr>
          <w:rFonts w:hint="default"/>
        </w:rPr>
        <w:t>103</w:t>
      </w:r>
      <w:r>
        <w:rPr>
          <w:rFonts w:hint="default"/>
        </w:rPr>
        <w:t>号）及び高齢者の医療の確保に関する法律（昭和</w:t>
      </w:r>
      <w:r>
        <w:rPr>
          <w:rFonts w:hint="default"/>
        </w:rPr>
        <w:t>57</w:t>
      </w:r>
      <w:r>
        <w:rPr>
          <w:rFonts w:hint="default"/>
        </w:rPr>
        <w:t>年法律第</w:t>
      </w:r>
      <w:r>
        <w:rPr>
          <w:rFonts w:hint="default"/>
        </w:rPr>
        <w:t>80</w:t>
      </w:r>
      <w:r>
        <w:rPr>
          <w:rFonts w:hint="default"/>
        </w:rPr>
        <w:t>号）に基づき施策展開しており、引き続き本計画との連携を図りながら推進するものとします。</w: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21" behindDoc="0" locked="0" layoutInCell="1" hidden="0" allowOverlap="1">
                <wp:simplePos x="0" y="0"/>
                <wp:positionH relativeFrom="page">
                  <wp:posOffset>4402455</wp:posOffset>
                </wp:positionH>
                <wp:positionV relativeFrom="page">
                  <wp:posOffset>9197975</wp:posOffset>
                </wp:positionV>
                <wp:extent cx="2209800" cy="400050"/>
                <wp:effectExtent l="0" t="0" r="635" b="635"/>
                <wp:wrapNone/>
                <wp:docPr id="1029" name="正方形/長方形 34"/>
                <a:graphic xmlns:a="http://schemas.openxmlformats.org/drawingml/2006/main">
                  <a:graphicData uri="http://schemas.microsoft.com/office/word/2010/wordprocessingShape">
                    <wps:wsp>
                      <wps:cNvPr id="1029" name="正方形/長方形 34"/>
                      <wps:cNvSpPr/>
                      <wps:spPr>
                        <a:xfrm>
                          <a:off x="0" y="0"/>
                          <a:ext cx="22098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center"/>
                              <w:rPr>
                                <w:rFonts w:hint="default"/>
                              </w:rPr>
                            </w:pPr>
                            <w:r>
                              <w:rPr>
                                <w:rFonts w:hint="default"/>
                                <w:color w:val="000000"/>
                              </w:rPr>
                              <w:t>を一体的に策定（法定計画）</w:t>
                            </w:r>
                          </w:p>
                        </w:txbxContent>
                      </wps:txbx>
                      <wps:bodyPr rot="0" vertOverflow="overflow" horzOverflow="overflow" wrap="square" numCol="1" spcCol="0" rtlCol="0" fromWordArt="0" anchor="ctr" anchorCtr="0" forceAA="0" compatLnSpc="1"/>
                    </wps:wsp>
                  </a:graphicData>
                </a:graphic>
              </wp:anchor>
            </w:drawing>
          </mc:Choice>
          <mc:Fallback>
            <w:pict>
              <v:rect id="正方形/長方形 34" style="mso-wrap-distance-right:9pt;mso-wrap-distance-bottom:0pt;margin-top:724.25pt;mso-position-vertical-relative:page;mso-position-horizontal-relative:page;v-text-anchor:middle;position:absolute;height:31.5pt;mso-wrap-distance-top:0pt;width:174pt;mso-wrap-distance-left:9pt;margin-left:346.65pt;z-index:121;" o:spid="_x0000_s1029" o:allowincell="t" o:allowoverlap="t" filled="f" stroked="f" strokecolor="#32528f" strokeweight="1pt" o:spt="1">
                <v:fill/>
                <v:stroke linestyle="single" miterlimit="8" endcap="flat" dashstyle="solid"/>
                <v:textbox style="layout-flow:horizontal;">
                  <w:txbxContent>
                    <w:p>
                      <w:pPr>
                        <w:pStyle w:val="0"/>
                        <w:snapToGrid w:val="0"/>
                        <w:jc w:val="center"/>
                        <w:rPr>
                          <w:rFonts w:hint="default"/>
                        </w:rPr>
                      </w:pPr>
                      <w:r>
                        <w:rPr>
                          <w:rFonts w:hint="default"/>
                          <w:color w:val="000000"/>
                        </w:rPr>
                        <w:t>を一体的に策定（法定計画）</w:t>
                      </w:r>
                    </w:p>
                  </w:txbxContent>
                </v:textbox>
                <v:imagedata o:title=""/>
                <w10:wrap type="none" anchorx="page" anchory="page"/>
              </v:rect>
            </w:pict>
          </mc:Fallback>
        </mc:AlternateContent>
      </w:r>
      <w:r>
        <w:rPr>
          <w:rFonts w:hint="eastAsia"/>
        </w:rPr>
        <mc:AlternateContent>
          <mc:Choice Requires="wps">
            <w:drawing>
              <wp:anchor distT="0" distB="0" distL="114300" distR="114300" simplePos="0" relativeHeight="122" behindDoc="0" locked="0" layoutInCell="1" hidden="0" allowOverlap="1">
                <wp:simplePos x="0" y="0"/>
                <wp:positionH relativeFrom="page">
                  <wp:posOffset>4190365</wp:posOffset>
                </wp:positionH>
                <wp:positionV relativeFrom="page">
                  <wp:posOffset>9112250</wp:posOffset>
                </wp:positionV>
                <wp:extent cx="133350" cy="552450"/>
                <wp:effectExtent l="635" t="635" r="31750" b="10795"/>
                <wp:wrapNone/>
                <wp:docPr id="1030" name="右中かっこ 1"/>
                <a:graphic xmlns:a="http://schemas.openxmlformats.org/drawingml/2006/main">
                  <a:graphicData uri="http://schemas.microsoft.com/office/word/2010/wordprocessingShape">
                    <wps:wsp>
                      <wps:cNvPr id="1030" name="右中かっこ 1"/>
                      <wps:cNvSpPr/>
                      <wps:spPr>
                        <a:xfrm>
                          <a:off x="0" y="0"/>
                          <a:ext cx="133350" cy="552450"/>
                        </a:xfrm>
                        <a:prstGeom prst="rightBrace">
                          <a:avLst>
                            <a:gd name="adj1" fmla="val 32915"/>
                            <a:gd name="adj2" fmla="val 50000"/>
                          </a:avLst>
                        </a:prstGeom>
                      </wps:spPr>
                      <wps:style>
                        <a:lnRef idx="1">
                          <a:schemeClr val="dk1"/>
                        </a:lnRef>
                        <a:fillRef idx="0">
                          <a:schemeClr val="dk1"/>
                        </a:fillRef>
                        <a:effectRef idx="0">
                          <a:schemeClr val="dk1"/>
                        </a:effectRef>
                        <a:fontRef idx="minor">
                          <a:schemeClr val="tx1"/>
                        </a:fontRef>
                      </wps:style>
                      <wps:txbx>
                        <w:txbxContent>
                          <w:p>
                            <w:pPr>
                              <w:pStyle w:val="0"/>
                              <w:snapToGrid w:val="0"/>
                              <w:rPr>
                                <w:rFonts w:hint="default"/>
                              </w:rPr>
                            </w:pPr>
                          </w:p>
                        </w:txbxContent>
                      </wps:txbx>
                      <wps:bodyPr vertOverflow="overflow" horzOverflow="overflow" wrap="square"/>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style="mso-wrap-distance-right:9pt;mso-wrap-distance-bottom:0pt;margin-top:717.5pt;mso-position-vertical-relative:page;mso-position-horizontal-relative:page;position:absolute;height:43.5pt;mso-wrap-distance-top:0pt;width:10.5pt;mso-wrap-distance-left:9pt;margin-left:329.95pt;z-index:122;" o:spid="_x0000_s1030" o:allowincell="t" o:allowoverlap="t" filled="f" stroked="t" strokecolor="#000000 [3200]" strokeweight="0.5pt" o:spt="88" type="#_x0000_t88" adj="5400,10800">
                <v:fill/>
                <v:stroke linestyle="single" miterlimit="8" endcap="flat" dashstyle="solid" filltype="solid"/>
                <v:textbox style="layout-flow:horizontal;">
                  <w:txbxContent>
                    <w:p>
                      <w:pPr>
                        <w:pStyle w:val="0"/>
                        <w:snapToGrid w:val="0"/>
                        <w:rPr>
                          <w:rFonts w:hint="default"/>
                        </w:rPr>
                      </w:pPr>
                    </w:p>
                  </w:txbxContent>
                </v:textbox>
                <v:imagedata o:title=""/>
                <w10:wrap type="none" anchorx="page" anchory="page"/>
              </v:shape>
            </w:pict>
          </mc:Fallback>
        </mc:AlternateContent>
      </w:r>
    </w:p>
    <w:p>
      <w:pPr>
        <w:pStyle w:val="0"/>
        <w:jc w:val="center"/>
        <w:rPr>
          <w:rFonts w:hint="default"/>
        </w:rPr>
      </w:pPr>
      <w:r>
        <w:rPr>
          <w:rFonts w:hint="eastAsia"/>
        </w:rPr>
        <mc:AlternateContent>
          <mc:Choice Requires="wps">
            <w:drawing>
              <wp:anchor distT="0" distB="0" distL="114300" distR="114300" simplePos="0" relativeHeight="123" behindDoc="0" locked="0" layoutInCell="1" hidden="0" allowOverlap="1">
                <wp:simplePos x="0" y="0"/>
                <wp:positionH relativeFrom="page">
                  <wp:posOffset>883920</wp:posOffset>
                </wp:positionH>
                <wp:positionV relativeFrom="page">
                  <wp:posOffset>9157335</wp:posOffset>
                </wp:positionV>
                <wp:extent cx="3394075" cy="558800"/>
                <wp:effectExtent l="0" t="0" r="635" b="635"/>
                <wp:wrapNone/>
                <wp:docPr id="1031" name="正方形/長方形 34"/>
                <a:graphic xmlns:a="http://schemas.openxmlformats.org/drawingml/2006/main">
                  <a:graphicData uri="http://schemas.microsoft.com/office/word/2010/wordprocessingShape">
                    <wps:wsp>
                      <wps:cNvPr id="1031" name="正方形/長方形 34"/>
                      <wps:cNvSpPr/>
                      <wps:spPr>
                        <a:xfrm>
                          <a:off x="0" y="0"/>
                          <a:ext cx="3394075"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both"/>
                              <w:rPr>
                                <w:rFonts w:hint="default"/>
                                <w:color w:val="000000" w:themeColor="text1"/>
                              </w:rPr>
                            </w:pPr>
                            <w:r>
                              <w:rPr>
                                <w:rFonts w:hint="eastAsia"/>
                                <w:color w:val="000000" w:themeColor="text1"/>
                              </w:rPr>
                              <w:t>老人福祉法に規定する「老人福祉計画」</w:t>
                            </w:r>
                          </w:p>
                          <w:p>
                            <w:pPr>
                              <w:pStyle w:val="0"/>
                              <w:snapToGrid w:val="0"/>
                              <w:jc w:val="both"/>
                              <w:rPr>
                                <w:rFonts w:hint="default"/>
                                <w:color w:val="000000" w:themeColor="text1"/>
                              </w:rPr>
                            </w:pPr>
                            <w:r>
                              <w:rPr>
                                <w:rFonts w:hint="eastAsia"/>
                                <w:color w:val="000000" w:themeColor="text1"/>
                              </w:rPr>
                              <w:t>介護保険法に規定する「介護保険事業計画」</w:t>
                            </w:r>
                          </w:p>
                          <w:p>
                            <w:pPr>
                              <w:pStyle w:val="0"/>
                              <w:snapToGrid w:val="0"/>
                              <w:jc w:val="center"/>
                              <w:rPr>
                                <w:rFonts w:hint="default"/>
                                <w:color w:val="000000" w:themeColor="text1"/>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34" style="mso-wrap-distance-right:9pt;mso-wrap-distance-bottom:0pt;margin-top:721.05pt;mso-position-vertical-relative:page;mso-position-horizontal-relative:page;v-text-anchor:middle;position:absolute;height:44pt;mso-wrap-distance-top:0pt;width:267.25pt;mso-wrap-distance-left:9pt;margin-left:69.59pt;z-index:123;" o:spid="_x0000_s1031" o:allowincell="t" o:allowoverlap="t" filled="f" stroked="f" strokecolor="#32528f" strokeweight="1pt" o:spt="1">
                <v:fill/>
                <v:stroke linestyle="single" miterlimit="8" endcap="flat" dashstyle="solid"/>
                <v:textbox style="layout-flow:horizontal;">
                  <w:txbxContent>
                    <w:p>
                      <w:pPr>
                        <w:pStyle w:val="0"/>
                        <w:snapToGrid w:val="0"/>
                        <w:jc w:val="both"/>
                        <w:rPr>
                          <w:rFonts w:hint="default"/>
                          <w:color w:val="000000" w:themeColor="text1"/>
                        </w:rPr>
                      </w:pPr>
                      <w:r>
                        <w:rPr>
                          <w:rFonts w:hint="eastAsia"/>
                          <w:color w:val="000000" w:themeColor="text1"/>
                        </w:rPr>
                        <w:t>老人福祉法に規定する「老人福祉計画」</w:t>
                      </w:r>
                    </w:p>
                    <w:p>
                      <w:pPr>
                        <w:pStyle w:val="0"/>
                        <w:snapToGrid w:val="0"/>
                        <w:jc w:val="both"/>
                        <w:rPr>
                          <w:rFonts w:hint="default"/>
                          <w:color w:val="000000" w:themeColor="text1"/>
                        </w:rPr>
                      </w:pPr>
                      <w:r>
                        <w:rPr>
                          <w:rFonts w:hint="eastAsia"/>
                          <w:color w:val="000000" w:themeColor="text1"/>
                        </w:rPr>
                        <w:t>介護保険法に規定する「介護保険事業計画」</w:t>
                      </w:r>
                    </w:p>
                    <w:p>
                      <w:pPr>
                        <w:pStyle w:val="0"/>
                        <w:snapToGrid w:val="0"/>
                        <w:jc w:val="center"/>
                        <w:rPr>
                          <w:rFonts w:hint="default"/>
                          <w:color w:val="000000" w:themeColor="text1"/>
                        </w:rPr>
                      </w:pPr>
                    </w:p>
                  </w:txbxContent>
                </v:textbox>
                <v:imagedata o:title=""/>
                <w10:wrap type="none" anchorx="page" anchory="page"/>
              </v:rect>
            </w:pict>
          </mc:Fallback>
        </mc:AlternateContent>
      </w:r>
    </w:p>
    <w:p>
      <w:pPr>
        <w:pStyle w:val="4"/>
        <w:ind w:left="0" w:leftChars="0"/>
        <w:rPr>
          <w:rFonts w:hint="default" w:ascii="メイリオ" w:hAnsi="メイリオ" w:eastAsia="メイリオ"/>
          <w:b w:val="0"/>
          <w:sz w:val="28"/>
        </w:rPr>
      </w:pPr>
      <w:bookmarkStart w:id="5" w:name="_Toc59007737"/>
      <w:r>
        <w:rPr>
          <w:rFonts w:hint="eastAsia" w:ascii="メイリオ" w:hAnsi="メイリオ" w:eastAsia="メイリオ"/>
          <w:b w:val="0"/>
          <w:sz w:val="28"/>
        </w:rPr>
        <w:t>（２）他の計画等との関係</w:t>
      </w:r>
      <w:bookmarkEnd w:id="5"/>
    </w:p>
    <w:p>
      <w:pPr>
        <w:pStyle w:val="0"/>
        <w:ind w:firstLine="240" w:firstLineChars="100"/>
        <w:jc w:val="both"/>
        <w:rPr>
          <w:rFonts w:hint="default"/>
        </w:rPr>
      </w:pPr>
      <w:r>
        <w:rPr>
          <w:rFonts w:hint="eastAsia"/>
        </w:rPr>
        <w:t>本計画は、「</w:t>
      </w:r>
      <w:r>
        <w:rPr>
          <w:rFonts w:hint="eastAsia"/>
          <w:color w:val="000000" w:themeColor="text1"/>
        </w:rPr>
        <w:t>第２期</w:t>
      </w:r>
      <w:r>
        <w:rPr>
          <w:rFonts w:hint="eastAsia"/>
        </w:rPr>
        <w:t>箕面市地域福祉計画」を上位計画とし、国の基本的な指針等、また、大阪府の「大阪府高齢者計画」、</w:t>
      </w:r>
      <w:r>
        <w:rPr>
          <w:rFonts w:hint="eastAsia"/>
          <w:color w:val="000000" w:themeColor="text1"/>
          <w:highlight w:val="none"/>
        </w:rPr>
        <w:t>「大阪府医療計画」、「大阪府</w:t>
      </w:r>
      <w:r>
        <w:rPr>
          <w:rFonts w:hint="eastAsia"/>
          <w:color w:val="000000" w:themeColor="text1"/>
        </w:rPr>
        <w:t>地域医療構想」等や「</w:t>
      </w:r>
      <w:r>
        <w:rPr>
          <w:rFonts w:hint="eastAsia"/>
        </w:rPr>
        <w:t>箕面市地域防災計画」、「</w:t>
      </w:r>
      <w:r>
        <w:rPr>
          <w:rFonts w:hint="eastAsia"/>
          <w:color w:val="000000" w:themeColor="text1"/>
        </w:rPr>
        <w:t>箕面市新型インフルエンザ等対策行動計画」、「第３期箕面市特定健康診査等実施計画」、</w:t>
      </w:r>
      <w:r>
        <w:rPr>
          <w:rFonts w:hint="eastAsia"/>
        </w:rPr>
        <w:t>「箕面市住宅マスタープラン</w:t>
      </w:r>
      <w:r>
        <w:rPr>
          <w:rFonts w:hint="default"/>
        </w:rPr>
        <w:t>(2010</w:t>
      </w:r>
      <w:r>
        <w:rPr>
          <w:rFonts w:hint="default"/>
        </w:rPr>
        <w:t>）」</w:t>
      </w:r>
      <w:r>
        <w:rPr>
          <w:rFonts w:hint="eastAsia"/>
        </w:rPr>
        <w:t>、</w:t>
      </w:r>
      <w:r>
        <w:rPr>
          <w:rFonts w:hint="default"/>
        </w:rPr>
        <w:t>「第３次箕面市障害者市民の長期計画（みのお</w:t>
      </w:r>
      <w:r>
        <w:rPr>
          <w:rFonts w:hint="default"/>
        </w:rPr>
        <w:t>‘</w:t>
      </w:r>
      <w:r>
        <w:rPr>
          <w:rFonts w:hint="default"/>
        </w:rPr>
        <w:t>Ｎ</w:t>
      </w:r>
      <w:r>
        <w:rPr>
          <w:rFonts w:hint="default"/>
        </w:rPr>
        <w:t>’</w:t>
      </w:r>
      <w:r>
        <w:rPr>
          <w:rFonts w:hint="default"/>
        </w:rPr>
        <w:t>プラン）」など関連計画との整合を図り策定しています。</w:t>
      </w:r>
    </w:p>
    <w:p>
      <w:pPr>
        <w:pStyle w:val="0"/>
        <w:jc w:val="both"/>
        <w:rPr>
          <w:rFonts w:hint="default"/>
        </w:rPr>
      </w:pPr>
    </w:p>
    <w:p>
      <w:pPr>
        <w:pStyle w:val="0"/>
        <w:jc w:val="center"/>
        <w:rPr>
          <w:rFonts w:hint="default"/>
        </w:rPr>
      </w:pPr>
      <w:r>
        <w:rPr>
          <w:rFonts w:hint="eastAsia"/>
        </w:rPr>
        <w:drawing>
          <wp:inline distT="0" distB="0" distL="0" distR="0">
            <wp:extent cx="5697855" cy="2573020"/>
            <wp:effectExtent l="0" t="0" r="0" b="0"/>
            <wp:docPr id="1032" name="位置付け.bmp" descr="テキスト, 手紙&#10;&#10;自動的に生成された説明"/>
            <a:graphic xmlns:a="http://schemas.openxmlformats.org/drawingml/2006/main">
              <a:graphicData uri="http://schemas.openxmlformats.org/drawingml/2006/picture">
                <pic:pic xmlns:pic="http://schemas.openxmlformats.org/drawingml/2006/picture">
                  <pic:nvPicPr>
                    <pic:cNvPr id="1032" name="位置付け.bmp" descr="テキスト, 手紙&#10;&#10;自動的に生成された説明"/>
                    <pic:cNvPicPr/>
                  </pic:nvPicPr>
                  <pic:blipFill>
                    <a:blip r:embed="rId10"/>
                    <a:stretch>
                      <a:fillRect/>
                    </a:stretch>
                  </pic:blipFill>
                  <pic:spPr>
                    <a:xfrm>
                      <a:off x="0" y="0"/>
                      <a:ext cx="5697855" cy="2573020"/>
                    </a:xfrm>
                    <a:prstGeom prst="rect">
                      <a:avLst/>
                    </a:prstGeom>
                  </pic:spPr>
                </pic:pic>
              </a:graphicData>
            </a:graphic>
          </wp:inline>
        </w:drawing>
      </w:r>
    </w:p>
    <w:p>
      <w:pPr>
        <w:pStyle w:val="0"/>
        <w:rPr>
          <w:rFonts w:hint="default"/>
        </w:rPr>
      </w:pPr>
    </w:p>
    <w:p>
      <w:pPr>
        <w:pStyle w:val="3"/>
        <w:ind w:left="0" w:leftChars="0"/>
        <w:rPr>
          <w:rFonts w:hint="default" w:ascii="メイリオ" w:hAnsi="メイリオ" w:eastAsia="メイリオ"/>
          <w:b w:val="1"/>
          <w:sz w:val="28"/>
          <w:u w:val="single" w:color="auto"/>
        </w:rPr>
      </w:pPr>
      <w:bookmarkStart w:id="6" w:name="_Toc59007738"/>
      <w:r>
        <w:rPr>
          <w:rFonts w:hint="eastAsia" w:ascii="メイリオ" w:hAnsi="メイリオ" w:eastAsia="メイリオ"/>
          <w:b w:val="1"/>
          <w:sz w:val="32"/>
          <w:u w:val="single" w:color="auto"/>
        </w:rPr>
        <w:t>３．計画の期間</w:t>
      </w:r>
      <w:bookmarkEnd w:id="6"/>
      <w:r>
        <w:rPr>
          <w:rFonts w:hint="eastAsia" w:ascii="メイリオ" w:hAnsi="メイリオ" w:eastAsia="メイリオ"/>
          <w:b w:val="1"/>
          <w:sz w:val="28"/>
          <w:u w:val="single" w:color="auto"/>
        </w:rPr>
        <w:t>　　　　　　　　　　　　　　　　　　　　　　　　　　　　　　　　　　　</w:t>
      </w:r>
    </w:p>
    <w:p>
      <w:pPr>
        <w:pStyle w:val="0"/>
        <w:ind w:firstLine="240" w:firstLineChars="100"/>
        <w:jc w:val="both"/>
        <w:rPr>
          <w:rFonts w:hint="default"/>
        </w:rPr>
      </w:pPr>
      <w:r>
        <w:rPr>
          <w:rFonts w:hint="eastAsia"/>
        </w:rPr>
        <w:t>本計画の期間は、令和３</w:t>
      </w:r>
      <w:r>
        <w:rPr>
          <w:rFonts w:hint="default"/>
        </w:rPr>
        <w:t>年度</w:t>
      </w:r>
      <w:r>
        <w:rPr>
          <w:rFonts w:hint="eastAsia"/>
        </w:rPr>
        <w:t>(</w:t>
      </w:r>
      <w:r>
        <w:rPr>
          <w:rFonts w:hint="default"/>
        </w:rPr>
        <w:t>20</w:t>
      </w:r>
      <w:r>
        <w:rPr>
          <w:rFonts w:hint="eastAsia"/>
        </w:rPr>
        <w:t>21</w:t>
      </w:r>
      <w:r>
        <w:rPr>
          <w:rFonts w:hint="default"/>
        </w:rPr>
        <w:t>年度</w:t>
      </w:r>
      <w:r>
        <w:rPr>
          <w:rFonts w:hint="eastAsia"/>
        </w:rPr>
        <w:t>)</w:t>
      </w:r>
      <w:r>
        <w:rPr>
          <w:rFonts w:hint="default"/>
        </w:rPr>
        <w:t>から</w:t>
      </w:r>
      <w:r>
        <w:rPr>
          <w:rFonts w:hint="eastAsia"/>
        </w:rPr>
        <w:t>令和５</w:t>
      </w:r>
      <w:r>
        <w:rPr>
          <w:rFonts w:hint="default"/>
        </w:rPr>
        <w:t>年度</w:t>
      </w:r>
      <w:r>
        <w:rPr>
          <w:rFonts w:hint="eastAsia"/>
        </w:rPr>
        <w:t>(</w:t>
      </w:r>
      <w:r>
        <w:rPr>
          <w:rFonts w:hint="default"/>
        </w:rPr>
        <w:t>202</w:t>
      </w:r>
      <w:r>
        <w:rPr>
          <w:rFonts w:hint="eastAsia"/>
        </w:rPr>
        <w:t>3</w:t>
      </w:r>
      <w:r>
        <w:rPr>
          <w:rFonts w:hint="default"/>
        </w:rPr>
        <w:t>年度</w:t>
      </w:r>
      <w:r>
        <w:rPr>
          <w:rFonts w:hint="eastAsia"/>
        </w:rPr>
        <w:t>)</w:t>
      </w:r>
      <w:r>
        <w:rPr>
          <w:rFonts w:hint="default"/>
        </w:rPr>
        <w:t>までとし、地域包括ケア整備の目標年次であ</w:t>
      </w:r>
      <w:r>
        <w:rPr>
          <w:rFonts w:hint="eastAsia"/>
        </w:rPr>
        <w:t>り、団塊の世代全員が</w:t>
      </w:r>
      <w:r>
        <w:rPr>
          <w:rFonts w:hint="eastAsia"/>
        </w:rPr>
        <w:t>75</w:t>
      </w:r>
      <w:r>
        <w:rPr>
          <w:rFonts w:hint="eastAsia"/>
        </w:rPr>
        <w:t>歳以上となる令和７</w:t>
      </w:r>
      <w:r>
        <w:rPr>
          <w:rFonts w:hint="default"/>
        </w:rPr>
        <w:t>年度</w:t>
      </w:r>
      <w:r>
        <w:rPr>
          <w:rFonts w:hint="eastAsia"/>
        </w:rPr>
        <w:t>(</w:t>
      </w:r>
      <w:r>
        <w:rPr>
          <w:rFonts w:hint="default"/>
        </w:rPr>
        <w:t>2025</w:t>
      </w:r>
      <w:r>
        <w:rPr>
          <w:rFonts w:hint="default"/>
        </w:rPr>
        <w:t>年度</w:t>
      </w:r>
      <w:r>
        <w:rPr>
          <w:rFonts w:hint="eastAsia"/>
        </w:rPr>
        <w:t>)</w:t>
      </w:r>
      <w:r>
        <w:rPr>
          <w:rFonts w:hint="default"/>
        </w:rPr>
        <w:t>を見通した計画となっています。</w:t>
      </w:r>
    </w:p>
    <w:p>
      <w:pPr>
        <w:pStyle w:val="0"/>
        <w:jc w:val="center"/>
        <w:rPr>
          <w:rFonts w:hint="default"/>
        </w:rPr>
      </w:pPr>
    </w:p>
    <w:p>
      <w:pPr>
        <w:pStyle w:val="0"/>
        <w:jc w:val="center"/>
        <w:rPr>
          <w:rFonts w:hint="default"/>
        </w:rPr>
      </w:pPr>
      <w:r>
        <w:rPr>
          <w:rFonts w:hint="default"/>
        </w:rPr>
        <w:drawing>
          <wp:anchor distT="0" distB="0" distL="114300" distR="114300" simplePos="0" relativeHeight="252" behindDoc="1" locked="0" layoutInCell="1" hidden="0" allowOverlap="1">
            <wp:simplePos x="0" y="0"/>
            <wp:positionH relativeFrom="column">
              <wp:posOffset>-1905</wp:posOffset>
            </wp:positionH>
            <wp:positionV relativeFrom="paragraph">
              <wp:posOffset>60325</wp:posOffset>
            </wp:positionV>
            <wp:extent cx="6188710" cy="1449070"/>
            <wp:effectExtent l="0" t="0" r="0" b="0"/>
            <wp:wrapNone/>
            <wp:docPr id="1033" name="計画期間.bmp" descr="タイムライン&#10;&#10;自動的に生成された説明"/>
            <a:graphic xmlns:a="http://schemas.openxmlformats.org/drawingml/2006/main">
              <a:graphicData uri="http://schemas.openxmlformats.org/drawingml/2006/picture">
                <pic:pic xmlns:pic="http://schemas.openxmlformats.org/drawingml/2006/picture">
                  <pic:nvPicPr>
                    <pic:cNvPr id="1033" name="計画期間.bmp" descr="タイムライン&#10;&#10;自動的に生成された説明"/>
                    <pic:cNvPicPr/>
                  </pic:nvPicPr>
                  <pic:blipFill>
                    <a:blip r:embed="rId11"/>
                    <a:stretch>
                      <a:fillRect/>
                    </a:stretch>
                  </pic:blipFill>
                  <pic:spPr>
                    <a:xfrm>
                      <a:off x="0" y="0"/>
                      <a:ext cx="6188710" cy="1449070"/>
                    </a:xfrm>
                    <a:prstGeom prst="rect">
                      <a:avLst/>
                    </a:prstGeom>
                  </pic:spPr>
                </pic:pic>
              </a:graphicData>
            </a:graphic>
          </wp:anchor>
        </w:drawing>
      </w:r>
      <w:r>
        <w:rPr>
          <w:rFonts w:hint="eastAsia" w:ascii="ＭＳ ゴシック" w:hAnsi="ＭＳ ゴシック" w:eastAsia="ＭＳ ゴシック"/>
          <w:sz w:val="21"/>
        </w:rPr>
        <w:t>図表１：計画期間</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headerReference r:id="rId7" w:type="default"/>
          <w:footerReference r:id="rId8" w:type="default"/>
          <w:pgSz w:w="11906" w:h="16838"/>
          <w:pgMar w:top="1440" w:right="1080" w:bottom="1440" w:left="1080" w:header="851" w:footer="454" w:gutter="0"/>
          <w:pgNumType w:start="1"/>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7" w:name="_Toc59007739"/>
      <w:r>
        <w:rPr>
          <w:rFonts w:hint="eastAsia" w:ascii="メイリオ" w:hAnsi="メイリオ" w:eastAsia="メイリオ"/>
          <w:b w:val="1"/>
          <w:sz w:val="32"/>
          <w:u w:val="single" w:color="auto"/>
        </w:rPr>
        <w:t>４．第８期の基本指針（国のガイドライン）</w:t>
      </w:r>
      <w:bookmarkEnd w:id="7"/>
      <w:r>
        <w:rPr>
          <w:rFonts w:hint="eastAsia" w:ascii="メイリオ" w:hAnsi="メイリオ" w:eastAsia="メイリオ"/>
          <w:b w:val="1"/>
          <w:sz w:val="28"/>
          <w:u w:val="single" w:color="auto"/>
        </w:rPr>
        <w:t>　　　　　　　　　　　　　　　　　　　　　　　</w:t>
      </w:r>
    </w:p>
    <w:p>
      <w:pPr>
        <w:pStyle w:val="0"/>
        <w:ind w:firstLine="240" w:firstLineChars="100"/>
        <w:jc w:val="both"/>
        <w:rPr>
          <w:rFonts w:hint="default"/>
        </w:rPr>
      </w:pPr>
      <w:r>
        <w:rPr>
          <w:rFonts w:hint="eastAsia"/>
        </w:rPr>
        <w:t>介護保険法第</w:t>
      </w:r>
      <w:r>
        <w:rPr>
          <w:rFonts w:hint="default"/>
        </w:rPr>
        <w:t>116</w:t>
      </w:r>
      <w:r>
        <w:rPr>
          <w:rFonts w:hint="default"/>
        </w:rPr>
        <w:t>条において、厚生労働大臣は地域における医療及び介護の総合的な確保の促進に関する法</w:t>
      </w:r>
      <w:r>
        <w:rPr>
          <w:rFonts w:hint="eastAsia"/>
        </w:rPr>
        <w:t>律に規定する総合確保方針に即して</w:t>
      </w:r>
      <w:r>
        <w:rPr>
          <w:rFonts w:hint="default"/>
        </w:rPr>
        <w:t>、介護保険事業に係る保険給付の円滑な実施を確保するための基本的な</w:t>
      </w:r>
      <w:r>
        <w:rPr>
          <w:rFonts w:hint="eastAsia"/>
        </w:rPr>
        <w:t>指針</w:t>
      </w:r>
      <w:r>
        <w:rPr>
          <w:rFonts w:hint="default"/>
        </w:rPr>
        <w:t>を定めることとされて</w:t>
      </w:r>
      <w:r>
        <w:rPr>
          <w:rFonts w:hint="eastAsia"/>
        </w:rPr>
        <w:t>います。第８</w:t>
      </w:r>
      <w:r>
        <w:rPr>
          <w:rFonts w:hint="default"/>
        </w:rPr>
        <w:t>期</w:t>
      </w:r>
      <w:r>
        <w:rPr>
          <w:rFonts w:hint="eastAsia"/>
        </w:rPr>
        <w:t>計画における国の基本指針では</w:t>
      </w:r>
      <w:r>
        <w:rPr>
          <w:rFonts w:hint="default"/>
        </w:rPr>
        <w:t>、第</w:t>
      </w:r>
      <w:r>
        <w:rPr>
          <w:rFonts w:hint="eastAsia"/>
        </w:rPr>
        <w:t>７</w:t>
      </w:r>
      <w:r>
        <w:rPr>
          <w:rFonts w:hint="default"/>
        </w:rPr>
        <w:t>期計画での目標や具体的な施策を</w:t>
      </w:r>
      <w:r>
        <w:rPr>
          <w:rFonts w:hint="eastAsia"/>
        </w:rPr>
        <w:t>ふ</w:t>
      </w:r>
      <w:r>
        <w:rPr>
          <w:rFonts w:hint="default"/>
        </w:rPr>
        <w:t>まえ、</w:t>
      </w:r>
      <w:r>
        <w:rPr>
          <w:rFonts w:hint="eastAsia"/>
        </w:rPr>
        <w:t>次の７項目のとおり、</w:t>
      </w:r>
      <w:r>
        <w:rPr>
          <w:rFonts w:hint="default"/>
        </w:rPr>
        <w:t>2025</w:t>
      </w:r>
      <w:r>
        <w:rPr>
          <w:rFonts w:hint="default"/>
        </w:rPr>
        <w:t>年を</w:t>
      </w:r>
      <w:r>
        <w:rPr>
          <w:rFonts w:hint="eastAsia"/>
        </w:rPr>
        <w:t>めざ</w:t>
      </w:r>
      <w:r>
        <w:rPr>
          <w:rFonts w:hint="default"/>
        </w:rPr>
        <w:t>した地域包括ケアシステムの整備</w:t>
      </w:r>
      <w:r>
        <w:rPr>
          <w:rFonts w:hint="eastAsia"/>
        </w:rPr>
        <w:t>及び</w:t>
      </w:r>
      <w:r>
        <w:rPr>
          <w:rFonts w:hint="default"/>
        </w:rPr>
        <w:t>現役世代が急減する</w:t>
      </w:r>
      <w:r>
        <w:rPr>
          <w:rFonts w:hint="default"/>
        </w:rPr>
        <w:t>2040</w:t>
      </w:r>
      <w:r>
        <w:rPr>
          <w:rFonts w:hint="default"/>
        </w:rPr>
        <w:t>年の双方を念頭に、高齢者人口や介護サービスのニーズを中長期的に見据えることについて計画に位置付ける</w:t>
      </w:r>
      <w:r>
        <w:rPr>
          <w:rFonts w:hint="eastAsia"/>
        </w:rPr>
        <w:t>ことが求められています。</w:t>
      </w:r>
    </w:p>
    <w:p>
      <w:pPr>
        <w:pStyle w:val="0"/>
        <w:rPr>
          <w:rFonts w:hint="default"/>
        </w:rPr>
      </w:pPr>
    </w:p>
    <w:p>
      <w:pPr>
        <w:pStyle w:val="4"/>
        <w:ind w:left="0" w:leftChars="0" w:right="-317" w:rightChars="-132"/>
        <w:rPr>
          <w:rFonts w:hint="default" w:ascii="メイリオ" w:hAnsi="メイリオ" w:eastAsia="メイリオ"/>
          <w:b w:val="0"/>
          <w:sz w:val="28"/>
        </w:rPr>
      </w:pPr>
      <w:bookmarkStart w:id="8" w:name="_Toc59007740"/>
      <w:r>
        <w:rPr>
          <w:rFonts w:hint="eastAsia" w:ascii="メイリオ" w:hAnsi="メイリオ" w:eastAsia="メイリオ"/>
          <w:b w:val="0"/>
          <w:sz w:val="28"/>
        </w:rPr>
        <w:t>（１）</w:t>
      </w:r>
      <w:r>
        <w:rPr>
          <w:rFonts w:hint="default" w:ascii="メイリオ" w:hAnsi="メイリオ" w:eastAsia="メイリオ"/>
          <w:b w:val="0"/>
          <w:sz w:val="28"/>
        </w:rPr>
        <w:t>2025</w:t>
      </w:r>
      <w:r>
        <w:rPr>
          <w:rFonts w:hint="eastAsia" w:ascii="メイリオ" w:hAnsi="メイリオ" w:eastAsia="メイリオ"/>
          <w:b w:val="0"/>
          <w:sz w:val="28"/>
        </w:rPr>
        <w:t>年</w:t>
      </w:r>
      <w:r>
        <w:rPr>
          <w:rFonts w:hint="default" w:ascii="メイリオ" w:hAnsi="メイリオ" w:eastAsia="メイリオ"/>
          <w:b w:val="0"/>
          <w:sz w:val="28"/>
        </w:rPr>
        <w:t>・</w:t>
      </w:r>
      <w:r>
        <w:rPr>
          <w:rFonts w:hint="default" w:ascii="メイリオ" w:hAnsi="メイリオ" w:eastAsia="メイリオ"/>
          <w:b w:val="0"/>
          <w:sz w:val="28"/>
        </w:rPr>
        <w:t>2040</w:t>
      </w:r>
      <w:r>
        <w:rPr>
          <w:rFonts w:hint="default" w:ascii="メイリオ" w:hAnsi="メイリオ" w:eastAsia="メイリオ"/>
          <w:b w:val="0"/>
          <w:sz w:val="28"/>
        </w:rPr>
        <w:t>年を見据えたサービス基盤、人的基盤の整備</w:t>
      </w:r>
      <w:bookmarkEnd w:id="8"/>
    </w:p>
    <w:p>
      <w:pPr>
        <w:pStyle w:val="0"/>
        <w:ind w:left="240" w:leftChars="100" w:firstLine="240" w:firstLineChars="100"/>
        <w:jc w:val="both"/>
        <w:rPr>
          <w:rFonts w:hint="default"/>
        </w:rPr>
      </w:pPr>
      <w:r>
        <w:rPr>
          <w:rFonts w:hint="eastAsia"/>
        </w:rPr>
        <w:t>「団塊の世代」が</w:t>
      </w:r>
      <w:r>
        <w:rPr>
          <w:rFonts w:hint="eastAsia"/>
        </w:rPr>
        <w:t>75</w:t>
      </w:r>
      <w:r>
        <w:rPr>
          <w:rFonts w:hint="eastAsia"/>
        </w:rPr>
        <w:t>歳以上となる</w:t>
      </w:r>
      <w:r>
        <w:rPr>
          <w:rFonts w:hint="eastAsia"/>
        </w:rPr>
        <w:t>2025</w:t>
      </w:r>
      <w:r>
        <w:rPr>
          <w:rFonts w:hint="eastAsia"/>
        </w:rPr>
        <w:t>年、更にはいわゆる「団塊ジュニア世代」が</w:t>
      </w:r>
      <w:r>
        <w:rPr>
          <w:rFonts w:hint="eastAsia"/>
        </w:rPr>
        <w:t>65</w:t>
      </w:r>
      <w:r>
        <w:rPr>
          <w:rFonts w:hint="eastAsia"/>
        </w:rPr>
        <w:t>歳以上となる</w:t>
      </w:r>
      <w:r>
        <w:rPr>
          <w:rFonts w:hint="eastAsia"/>
        </w:rPr>
        <w:t>2040</w:t>
      </w:r>
      <w:r>
        <w:rPr>
          <w:rFonts w:hint="eastAsia"/>
        </w:rPr>
        <w:t>年に向けて、人口推計等からの介護需要をふまえ、第８期計画において、具体的な取組内容やその目標を計画に位置づけ</w:t>
      </w:r>
    </w:p>
    <w:p>
      <w:pPr>
        <w:pStyle w:val="0"/>
        <w:rPr>
          <w:rFonts w:hint="default"/>
        </w:rPr>
      </w:pPr>
    </w:p>
    <w:p>
      <w:pPr>
        <w:pStyle w:val="4"/>
        <w:ind w:left="0" w:leftChars="0" w:right="-175" w:rightChars="-73"/>
        <w:rPr>
          <w:rFonts w:hint="default" w:ascii="メイリオ" w:hAnsi="メイリオ" w:eastAsia="メイリオ"/>
          <w:b w:val="0"/>
          <w:sz w:val="28"/>
        </w:rPr>
      </w:pPr>
      <w:bookmarkStart w:id="9" w:name="_Toc59007741"/>
      <w:r>
        <w:rPr>
          <w:rFonts w:hint="eastAsia" w:ascii="メイリオ" w:hAnsi="メイリオ" w:eastAsia="メイリオ"/>
          <w:b w:val="0"/>
          <w:sz w:val="28"/>
        </w:rPr>
        <w:t>（２）地域共生社会の実現</w:t>
      </w:r>
      <w:bookmarkEnd w:id="9"/>
    </w:p>
    <w:p>
      <w:pPr>
        <w:pStyle w:val="0"/>
        <w:ind w:left="240" w:leftChars="100" w:firstLine="240" w:firstLineChars="100"/>
        <w:jc w:val="both"/>
        <w:rPr>
          <w:rFonts w:hint="default"/>
        </w:rPr>
      </w:pPr>
      <w:r>
        <w:rPr>
          <w:rFonts w:hint="eastAsia"/>
        </w:rPr>
        <w:t>地域に生きる一人ひとりが尊重され、多様な経路で社会とつながり参画することで、その生きる力や可能性を最大限に発揮できる地域共生社会の実現にあたり、その理念や考えかたをふまえた包括的な支援体制の整備や具体的な取組を計画に位置づけ</w:t>
      </w:r>
    </w:p>
    <w:p>
      <w:pPr>
        <w:pStyle w:val="0"/>
        <w:rPr>
          <w:rFonts w:hint="default"/>
        </w:rPr>
      </w:pPr>
    </w:p>
    <w:p>
      <w:pPr>
        <w:pStyle w:val="4"/>
        <w:ind w:left="0" w:leftChars="0"/>
        <w:rPr>
          <w:rFonts w:hint="default" w:ascii="メイリオ" w:hAnsi="メイリオ" w:eastAsia="メイリオ"/>
          <w:b w:val="0"/>
          <w:sz w:val="28"/>
        </w:rPr>
      </w:pPr>
      <w:bookmarkStart w:id="10" w:name="_Toc59007742"/>
      <w:r>
        <w:rPr>
          <w:rFonts w:hint="eastAsia" w:ascii="メイリオ" w:hAnsi="メイリオ" w:eastAsia="メイリオ"/>
          <w:b w:val="0"/>
          <w:sz w:val="28"/>
        </w:rPr>
        <w:t>（３）介護予防・健康づくり施策の充実・推進</w:t>
      </w:r>
      <w:r>
        <w:rPr>
          <w:rFonts w:hint="eastAsia" w:ascii="メイリオ" w:hAnsi="メイリオ" w:eastAsia="メイリオ"/>
          <w:b w:val="0"/>
          <w:spacing w:val="0"/>
          <w:w w:val="81"/>
          <w:kern w:val="0"/>
          <w:sz w:val="28"/>
          <w:fitText w:val="3640" w:id="7"/>
        </w:rPr>
        <w:t>（地域支援事業等の効果的な実施</w:t>
      </w:r>
      <w:r>
        <w:rPr>
          <w:rFonts w:hint="eastAsia" w:ascii="メイリオ" w:hAnsi="メイリオ" w:eastAsia="メイリオ"/>
          <w:b w:val="0"/>
          <w:spacing w:val="6"/>
          <w:w w:val="81"/>
          <w:kern w:val="0"/>
          <w:sz w:val="28"/>
          <w:fitText w:val="3640" w:id="7"/>
        </w:rPr>
        <w:t>）</w:t>
      </w:r>
      <w:bookmarkEnd w:id="10"/>
    </w:p>
    <w:p>
      <w:pPr>
        <w:pStyle w:val="0"/>
        <w:ind w:left="240" w:hanging="240" w:hangingChars="100"/>
        <w:jc w:val="both"/>
        <w:rPr>
          <w:rFonts w:hint="default"/>
        </w:rPr>
      </w:pPr>
      <w:r>
        <w:rPr>
          <w:rFonts w:hint="eastAsia"/>
        </w:rPr>
        <w:t>　　被保険者が要介護状態となることを予防するとともに、要介護状態となった場合においても、可能な限り住み慣れた地域において自立した日常生活を送れるようにすることは、介護保険制度の重要な目的であり、そのため、次の事項に留意しながら、介護予防・健康づくりの取組を強化</w:t>
      </w:r>
    </w:p>
    <w:p>
      <w:pPr>
        <w:pStyle w:val="0"/>
        <w:ind w:left="240" w:hanging="240" w:hangingChars="100"/>
        <w:rPr>
          <w:rFonts w:hint="default"/>
        </w:rPr>
      </w:pPr>
    </w:p>
    <w:p>
      <w:pPr>
        <w:pStyle w:val="0"/>
        <w:ind w:left="240" w:hanging="240" w:hangingChars="100"/>
        <w:jc w:val="both"/>
        <w:rPr>
          <w:rFonts w:hint="default"/>
        </w:rPr>
      </w:pPr>
      <w:r>
        <w:rPr>
          <w:rFonts w:hint="eastAsia"/>
        </w:rPr>
        <w:t>○一般介護予防事業の推進に関する「ＰＤＣＡ</w:t>
      </w:r>
      <w:r>
        <w:rPr>
          <w:rFonts w:hint="default"/>
        </w:rPr>
        <w:t>サイクル</w:t>
      </w:r>
      <w:r>
        <w:rPr>
          <w:rFonts w:hint="eastAsia"/>
          <w:vertAlign w:val="superscript"/>
        </w:rPr>
        <w:t>※</w:t>
      </w:r>
      <w:r>
        <w:rPr>
          <w:rStyle w:val="42"/>
          <w:rFonts w:hint="eastAsia"/>
        </w:rPr>
        <w:footnoteReference w:id="1"/>
      </w:r>
      <w:r>
        <w:rPr>
          <w:rFonts w:hint="eastAsia"/>
        </w:rPr>
        <w:t>に</w:t>
      </w:r>
      <w:r>
        <w:rPr>
          <w:rFonts w:hint="default"/>
        </w:rPr>
        <w:t>沿った推進」、「専門職の関与」、「他の事業との連携」</w:t>
      </w:r>
    </w:p>
    <w:p>
      <w:pPr>
        <w:pStyle w:val="0"/>
        <w:ind w:left="240" w:hanging="240" w:hangingChars="100"/>
        <w:jc w:val="both"/>
        <w:rPr>
          <w:rFonts w:hint="default"/>
        </w:rPr>
      </w:pPr>
      <w:r>
        <w:rPr>
          <w:rFonts w:hint="eastAsia"/>
        </w:rPr>
        <w:t>○自立</w:t>
      </w:r>
      <w:r>
        <w:rPr>
          <w:rFonts w:hint="default"/>
        </w:rPr>
        <w:t>支援、介護予防・重度化防止に向けた取組として就労的活動等</w:t>
      </w:r>
      <w:r>
        <w:rPr>
          <w:rFonts w:hint="eastAsia"/>
        </w:rPr>
        <w:t>の環境整備</w:t>
      </w:r>
    </w:p>
    <w:p>
      <w:pPr>
        <w:pStyle w:val="0"/>
        <w:jc w:val="both"/>
        <w:rPr>
          <w:rFonts w:hint="default"/>
        </w:rPr>
      </w:pPr>
      <w:r>
        <w:rPr>
          <w:rFonts w:hint="eastAsia"/>
        </w:rPr>
        <w:t>○総合</w:t>
      </w:r>
      <w:r>
        <w:rPr>
          <w:rFonts w:hint="default"/>
        </w:rPr>
        <w:t>事業の対象者や単価の弾力化</w:t>
      </w:r>
    </w:p>
    <w:p>
      <w:pPr>
        <w:pStyle w:val="0"/>
        <w:ind w:left="240" w:hanging="240" w:hangingChars="100"/>
        <w:jc w:val="both"/>
        <w:rPr>
          <w:rFonts w:hint="default"/>
        </w:rPr>
        <w:sectPr>
          <w:headerReference r:id="rId12" w:type="default"/>
          <w:pgSz w:w="11906" w:h="16838"/>
          <w:pgMar w:top="1440" w:right="1080" w:bottom="1440" w:left="1080" w:header="851" w:footer="454" w:gutter="0"/>
          <w:cols w:space="720"/>
          <w:textDirection w:val="lrTb"/>
          <w:docGrid w:type="lines" w:linePitch="360"/>
        </w:sectPr>
      </w:pPr>
      <w:r>
        <w:rPr>
          <w:rFonts w:hint="eastAsia"/>
        </w:rPr>
        <w:t>○保険者機能強化推進交付金等を活用</w:t>
      </w:r>
      <w:r>
        <w:rPr>
          <w:rFonts w:hint="default"/>
        </w:rPr>
        <w:t>した施策</w:t>
      </w:r>
      <w:r>
        <w:rPr>
          <w:rFonts w:hint="eastAsia"/>
        </w:rPr>
        <w:t>の</w:t>
      </w:r>
      <w:r>
        <w:rPr>
          <w:rFonts w:hint="default"/>
        </w:rPr>
        <w:t>充実</w:t>
      </w:r>
      <w:r>
        <w:rPr>
          <w:rFonts w:hint="eastAsia"/>
        </w:rPr>
        <w:t>・推進</w:t>
      </w:r>
    </w:p>
    <w:p>
      <w:pPr>
        <w:pStyle w:val="0"/>
        <w:ind w:left="240" w:hanging="240" w:hangingChars="100"/>
        <w:jc w:val="both"/>
        <w:rPr>
          <w:rFonts w:hint="default"/>
        </w:rPr>
      </w:pPr>
      <w:r>
        <w:rPr>
          <w:rFonts w:hint="eastAsia"/>
        </w:rPr>
        <w:t>○在宅医療・介護連携</w:t>
      </w:r>
      <w:r>
        <w:rPr>
          <w:rFonts w:hint="default"/>
        </w:rPr>
        <w:t>の推進に</w:t>
      </w:r>
      <w:r>
        <w:rPr>
          <w:rFonts w:hint="eastAsia"/>
        </w:rPr>
        <w:t>かかる</w:t>
      </w:r>
      <w:r>
        <w:rPr>
          <w:rFonts w:hint="default"/>
        </w:rPr>
        <w:t>、看取りや認知症への対応強化等</w:t>
      </w:r>
    </w:p>
    <w:p>
      <w:pPr>
        <w:pStyle w:val="0"/>
        <w:ind w:left="240" w:hanging="240" w:hangingChars="100"/>
        <w:jc w:val="both"/>
        <w:rPr>
          <w:rFonts w:hint="default"/>
        </w:rPr>
      </w:pPr>
      <w:r>
        <w:rPr>
          <w:rFonts w:hint="eastAsia"/>
        </w:rPr>
        <w:t>○要介護（要支援）者に対するリハビリテーション</w:t>
      </w:r>
      <w:r>
        <w:rPr>
          <w:rFonts w:hint="default"/>
        </w:rPr>
        <w:t>の目標</w:t>
      </w:r>
      <w:r>
        <w:rPr>
          <w:rFonts w:hint="eastAsia"/>
        </w:rPr>
        <w:t>等の設定</w:t>
      </w:r>
    </w:p>
    <w:p>
      <w:pPr>
        <w:pStyle w:val="0"/>
        <w:ind w:left="240" w:hanging="240" w:hangingChars="100"/>
        <w:jc w:val="both"/>
        <w:rPr>
          <w:rFonts w:hint="default"/>
        </w:rPr>
      </w:pPr>
      <w:r>
        <w:rPr>
          <w:rFonts w:hint="eastAsia"/>
        </w:rPr>
        <w:t>○ＰＤＣＡ</w:t>
      </w:r>
      <w:r>
        <w:rPr>
          <w:rFonts w:hint="default"/>
        </w:rPr>
        <w:t>サイクルに沿った推進</w:t>
      </w:r>
      <w:r>
        <w:rPr>
          <w:rFonts w:hint="eastAsia"/>
        </w:rPr>
        <w:t>にかかる</w:t>
      </w:r>
      <w:r>
        <w:rPr>
          <w:rFonts w:hint="default"/>
        </w:rPr>
        <w:t>、データの利活用</w:t>
      </w:r>
      <w:r>
        <w:rPr>
          <w:rFonts w:hint="eastAsia"/>
        </w:rPr>
        <w:t>の推進・</w:t>
      </w:r>
      <w:r>
        <w:rPr>
          <w:rFonts w:hint="default"/>
        </w:rPr>
        <w:t>環境</w:t>
      </w:r>
      <w:r>
        <w:rPr>
          <w:rFonts w:hint="eastAsia"/>
        </w:rPr>
        <w:t>整備</w:t>
      </w:r>
    </w:p>
    <w:p>
      <w:pPr>
        <w:pStyle w:val="0"/>
        <w:ind w:left="240" w:hanging="240" w:hangingChars="100"/>
        <w:jc w:val="both"/>
        <w:rPr>
          <w:rFonts w:hint="default"/>
        </w:rPr>
      </w:pPr>
    </w:p>
    <w:p>
      <w:pPr>
        <w:pStyle w:val="4"/>
        <w:spacing w:line="400" w:lineRule="exact"/>
        <w:ind w:left="840" w:leftChars="0" w:hanging="840" w:hangingChars="300"/>
        <w:rPr>
          <w:rFonts w:hint="default" w:ascii="メイリオ" w:hAnsi="メイリオ" w:eastAsia="メイリオ"/>
          <w:b w:val="0"/>
          <w:sz w:val="28"/>
        </w:rPr>
      </w:pPr>
      <w:bookmarkStart w:id="11" w:name="_Toc59007743"/>
      <w:r>
        <w:rPr>
          <w:rFonts w:hint="eastAsia" w:ascii="メイリオ" w:hAnsi="メイリオ" w:eastAsia="メイリオ"/>
          <w:b w:val="0"/>
          <w:sz w:val="28"/>
        </w:rPr>
        <w:t>（４）</w:t>
      </w:r>
      <w:r>
        <w:rPr>
          <w:rFonts w:hint="eastAsia" w:ascii="メイリオ" w:hAnsi="メイリオ" w:eastAsia="メイリオ"/>
          <w:b w:val="0"/>
          <w:kern w:val="0"/>
          <w:sz w:val="28"/>
        </w:rPr>
        <w:t>有料老人ホームとサービス付き高齢者住宅に係る都道府県・市町村間の情報連携の強化</w:t>
      </w:r>
      <w:bookmarkEnd w:id="11"/>
    </w:p>
    <w:p>
      <w:pPr>
        <w:pStyle w:val="0"/>
        <w:jc w:val="both"/>
        <w:rPr>
          <w:rFonts w:hint="default"/>
        </w:rPr>
      </w:pPr>
      <w:r>
        <w:rPr>
          <w:rFonts w:hint="eastAsia"/>
        </w:rPr>
        <w:t>○住宅型有料老人ホーム及びサービス付き高齢者向け住宅の設置状況の把握</w:t>
      </w:r>
    </w:p>
    <w:p>
      <w:pPr>
        <w:pStyle w:val="0"/>
        <w:ind w:left="240" w:hanging="240" w:hangingChars="100"/>
        <w:jc w:val="both"/>
        <w:rPr>
          <w:rFonts w:hint="default"/>
        </w:rPr>
      </w:pPr>
      <w:r>
        <w:rPr>
          <w:rFonts w:hint="eastAsia"/>
        </w:rPr>
        <w:t>○サービス基盤の整備に当たり、有料老人ホーム及びサービス付き高齢者向け住宅の設置状況を勘案</w:t>
      </w:r>
    </w:p>
    <w:p>
      <w:pPr>
        <w:pStyle w:val="0"/>
        <w:ind w:left="240" w:hanging="240" w:hangingChars="100"/>
        <w:rPr>
          <w:rFonts w:hint="default"/>
        </w:rPr>
      </w:pPr>
    </w:p>
    <w:p>
      <w:pPr>
        <w:pStyle w:val="4"/>
        <w:ind w:left="0" w:leftChars="0"/>
        <w:rPr>
          <w:rFonts w:hint="default" w:ascii="メイリオ" w:hAnsi="メイリオ" w:eastAsia="メイリオ"/>
          <w:b w:val="0"/>
          <w:sz w:val="28"/>
        </w:rPr>
      </w:pPr>
      <w:bookmarkStart w:id="12" w:name="_Toc59007744"/>
      <w:r>
        <w:rPr>
          <w:rFonts w:hint="eastAsia" w:ascii="メイリオ" w:hAnsi="メイリオ" w:eastAsia="メイリオ"/>
          <w:b w:val="0"/>
          <w:sz w:val="28"/>
        </w:rPr>
        <w:t>（５）認知症施策推進大綱等をふまえた認知症施策の推進</w:t>
      </w:r>
      <w:bookmarkEnd w:id="12"/>
    </w:p>
    <w:p>
      <w:pPr>
        <w:pStyle w:val="0"/>
        <w:ind w:left="240" w:hanging="240" w:hangingChars="100"/>
        <w:jc w:val="both"/>
        <w:rPr>
          <w:rFonts w:hint="default"/>
          <w:color w:val="000000" w:themeColor="text1"/>
        </w:rPr>
      </w:pPr>
      <w:r>
        <w:rPr>
          <w:rFonts w:hint="eastAsia"/>
        </w:rPr>
        <w:t>○認知症施策推進大綱等をふまえ、「共生」</w:t>
      </w:r>
      <w:r>
        <w:rPr>
          <w:rFonts w:hint="eastAsia"/>
          <w:color w:val="000000" w:themeColor="text1"/>
        </w:rPr>
        <w:t>（認知症になっても住みやすい社会を形成）と「予防」（発症や進行を遅らせる）を車の両輪とし、５つの柱に基づいて認知症施策を推進</w:t>
      </w:r>
    </w:p>
    <w:p>
      <w:pPr>
        <w:pStyle w:val="0"/>
        <w:ind w:left="240" w:leftChars="100" w:firstLine="240" w:firstLineChars="100"/>
        <w:jc w:val="both"/>
        <w:rPr>
          <w:rFonts w:hint="default"/>
          <w:color w:val="000000" w:themeColor="text1"/>
        </w:rPr>
      </w:pPr>
      <w:r>
        <w:rPr>
          <w:rFonts w:hint="eastAsia"/>
          <w:color w:val="000000" w:themeColor="text1"/>
        </w:rPr>
        <w:t>①　普及啓発・本人発信支援</w:t>
      </w:r>
    </w:p>
    <w:p>
      <w:pPr>
        <w:pStyle w:val="0"/>
        <w:ind w:left="240" w:leftChars="100" w:firstLine="240" w:firstLineChars="100"/>
        <w:jc w:val="both"/>
        <w:rPr>
          <w:rFonts w:hint="default"/>
          <w:color w:val="000000" w:themeColor="text1"/>
        </w:rPr>
      </w:pPr>
      <w:r>
        <w:rPr>
          <w:rFonts w:hint="eastAsia"/>
          <w:color w:val="000000" w:themeColor="text1"/>
        </w:rPr>
        <w:t>②　予防</w:t>
      </w:r>
    </w:p>
    <w:p>
      <w:pPr>
        <w:pStyle w:val="0"/>
        <w:ind w:left="240" w:leftChars="100" w:firstLine="240" w:firstLineChars="100"/>
        <w:jc w:val="both"/>
        <w:rPr>
          <w:rFonts w:hint="default"/>
          <w:color w:val="000000" w:themeColor="text1"/>
        </w:rPr>
      </w:pPr>
      <w:r>
        <w:rPr>
          <w:rFonts w:hint="eastAsia"/>
          <w:color w:val="000000" w:themeColor="text1"/>
        </w:rPr>
        <w:t>③　医療・ケア・介護サービス・介護者への支援</w:t>
      </w:r>
    </w:p>
    <w:p>
      <w:pPr>
        <w:pStyle w:val="0"/>
        <w:ind w:left="240" w:leftChars="100" w:firstLine="240" w:firstLineChars="100"/>
        <w:jc w:val="both"/>
        <w:rPr>
          <w:rFonts w:hint="default"/>
          <w:color w:val="000000" w:themeColor="text1"/>
        </w:rPr>
      </w:pPr>
      <w:r>
        <w:rPr>
          <w:rFonts w:hint="eastAsia"/>
          <w:color w:val="000000" w:themeColor="text1"/>
        </w:rPr>
        <w:t>④　認知症バリアフリーの推進・若年性認知症の人への支援・社会参加支援</w:t>
      </w:r>
    </w:p>
    <w:p>
      <w:pPr>
        <w:pStyle w:val="0"/>
        <w:ind w:left="240" w:leftChars="100" w:firstLine="240" w:firstLineChars="100"/>
        <w:jc w:val="both"/>
        <w:rPr>
          <w:rFonts w:hint="default"/>
          <w:color w:val="000000" w:themeColor="text1"/>
        </w:rPr>
      </w:pPr>
      <w:r>
        <w:rPr>
          <w:rFonts w:hint="eastAsia"/>
          <w:color w:val="000000" w:themeColor="text1"/>
        </w:rPr>
        <w:t>⑤　研究開発・産業促進・国際展開</w:t>
      </w:r>
    </w:p>
    <w:p>
      <w:pPr>
        <w:pStyle w:val="0"/>
        <w:jc w:val="both"/>
        <w:rPr>
          <w:rFonts w:hint="default"/>
        </w:rPr>
      </w:pPr>
      <w:r>
        <w:rPr>
          <w:rFonts w:hint="eastAsia"/>
        </w:rPr>
        <w:t>○教育等他の分野とも連携して取組を推進</w:t>
      </w:r>
    </w:p>
    <w:p>
      <w:pPr>
        <w:pStyle w:val="0"/>
        <w:rPr>
          <w:rFonts w:hint="default"/>
        </w:rPr>
      </w:pPr>
    </w:p>
    <w:p>
      <w:pPr>
        <w:pStyle w:val="4"/>
        <w:ind w:left="0" w:leftChars="0"/>
        <w:rPr>
          <w:rFonts w:hint="default" w:ascii="メイリオ" w:hAnsi="メイリオ" w:eastAsia="メイリオ"/>
          <w:b w:val="0"/>
          <w:sz w:val="28"/>
        </w:rPr>
      </w:pPr>
      <w:bookmarkStart w:id="13" w:name="_Toc59007745"/>
      <w:r>
        <w:rPr>
          <w:rFonts w:hint="eastAsia" w:ascii="メイリオ" w:hAnsi="メイリオ" w:eastAsia="メイリオ"/>
          <w:b w:val="0"/>
          <w:sz w:val="28"/>
        </w:rPr>
        <w:t>（６）</w:t>
      </w:r>
      <w:r>
        <w:rPr>
          <w:rFonts w:hint="eastAsia" w:ascii="メイリオ" w:hAnsi="メイリオ" w:eastAsia="メイリオ"/>
          <w:b w:val="0"/>
          <w:spacing w:val="1"/>
          <w:w w:val="93"/>
          <w:kern w:val="0"/>
          <w:sz w:val="28"/>
          <w:fitText w:val="8680" w:id="8"/>
        </w:rPr>
        <w:t>地域包括ケアシステムを支える介護人材確保及び業務効率化の取組の強</w:t>
      </w:r>
      <w:r>
        <w:rPr>
          <w:rFonts w:hint="eastAsia" w:ascii="メイリオ" w:hAnsi="メイリオ" w:eastAsia="メイリオ"/>
          <w:b w:val="0"/>
          <w:spacing w:val="13"/>
          <w:w w:val="93"/>
          <w:kern w:val="0"/>
          <w:sz w:val="28"/>
          <w:fitText w:val="8680" w:id="8"/>
        </w:rPr>
        <w:t>化</w:t>
      </w:r>
      <w:bookmarkEnd w:id="13"/>
    </w:p>
    <w:p>
      <w:pPr>
        <w:pStyle w:val="0"/>
        <w:ind w:left="240" w:hanging="240" w:hangingChars="100"/>
        <w:jc w:val="both"/>
        <w:rPr>
          <w:rFonts w:hint="default"/>
        </w:rPr>
      </w:pPr>
      <w:r>
        <w:rPr>
          <w:rFonts w:hint="eastAsia"/>
        </w:rPr>
        <w:t>　　現状の介護人材不足に加え、</w:t>
      </w:r>
      <w:r>
        <w:rPr>
          <w:rFonts w:hint="eastAsia"/>
        </w:rPr>
        <w:t>2025</w:t>
      </w:r>
      <w:r>
        <w:rPr>
          <w:rFonts w:hint="eastAsia"/>
        </w:rPr>
        <w:t>年以降は現役世代の減少が顕著となり、地域包括ケアシステムを支える介護人材の確保が大きな課題となるため、介護人材確保の必要性を把握するとともに、次のことについて取組を強化</w:t>
      </w:r>
    </w:p>
    <w:p>
      <w:pPr>
        <w:pStyle w:val="0"/>
        <w:ind w:left="240" w:hanging="240" w:hangingChars="100"/>
        <w:rPr>
          <w:rFonts w:hint="default"/>
        </w:rPr>
      </w:pPr>
    </w:p>
    <w:p>
      <w:pPr>
        <w:pStyle w:val="0"/>
        <w:ind w:left="240" w:hanging="240" w:hangingChars="100"/>
        <w:jc w:val="both"/>
        <w:rPr>
          <w:rFonts w:hint="default"/>
        </w:rPr>
      </w:pPr>
      <w:r>
        <w:rPr>
          <w:rFonts w:hint="eastAsia"/>
        </w:rPr>
        <w:t>○介護現場における業務仕分けやロボット・ＩＣＴ</w:t>
      </w:r>
      <w:r>
        <w:rPr>
          <w:rFonts w:hint="default"/>
        </w:rPr>
        <w:t>の活用、元気高齢者の参入による業務改善など</w:t>
      </w:r>
      <w:r>
        <w:rPr>
          <w:rFonts w:hint="eastAsia"/>
        </w:rPr>
        <w:t>の取組</w:t>
      </w:r>
    </w:p>
    <w:p>
      <w:pPr>
        <w:pStyle w:val="0"/>
        <w:ind w:left="240" w:hanging="240" w:hangingChars="100"/>
        <w:jc w:val="both"/>
        <w:rPr>
          <w:rFonts w:hint="default"/>
        </w:rPr>
      </w:pPr>
      <w:r>
        <w:rPr>
          <w:rFonts w:hint="eastAsia"/>
        </w:rPr>
        <w:t>○総合事業等の担い手確保に関する取組</w:t>
      </w:r>
    </w:p>
    <w:p>
      <w:pPr>
        <w:pStyle w:val="0"/>
        <w:jc w:val="both"/>
        <w:rPr>
          <w:rFonts w:hint="default"/>
        </w:rPr>
      </w:pPr>
      <w:r>
        <w:rPr>
          <w:rFonts w:hint="eastAsia"/>
        </w:rPr>
        <w:t>○要介護</w:t>
      </w:r>
      <w:r>
        <w:rPr>
          <w:rFonts w:hint="default"/>
        </w:rPr>
        <w:t>認定を行う体制の計画的な整備</w:t>
      </w:r>
      <w:r>
        <w:rPr>
          <w:rFonts w:hint="eastAsia"/>
        </w:rPr>
        <w:t>に関する取組</w:t>
      </w:r>
    </w:p>
    <w:p>
      <w:pPr>
        <w:pStyle w:val="0"/>
        <w:jc w:val="both"/>
        <w:rPr>
          <w:rFonts w:hint="default"/>
        </w:rPr>
      </w:pPr>
      <w:r>
        <w:rPr>
          <w:rFonts w:hint="eastAsia"/>
        </w:rPr>
        <w:t>○文書負担軽減に向けた具体的な取組</w:t>
      </w:r>
    </w:p>
    <w:p>
      <w:pPr>
        <w:pStyle w:val="0"/>
        <w:jc w:val="both"/>
        <w:rPr>
          <w:rFonts w:hint="default"/>
        </w:rPr>
      </w:pPr>
    </w:p>
    <w:p>
      <w:pPr>
        <w:pStyle w:val="4"/>
        <w:ind w:left="0" w:leftChars="0"/>
        <w:rPr>
          <w:rFonts w:hint="default" w:ascii="メイリオ" w:hAnsi="メイリオ" w:eastAsia="メイリオ"/>
          <w:b w:val="0"/>
          <w:sz w:val="28"/>
        </w:rPr>
      </w:pPr>
      <w:bookmarkStart w:id="14" w:name="_Toc59007746"/>
      <w:r>
        <w:rPr>
          <w:rFonts w:hint="eastAsia" w:ascii="メイリオ" w:hAnsi="メイリオ" w:eastAsia="メイリオ"/>
          <w:b w:val="0"/>
          <w:sz w:val="28"/>
        </w:rPr>
        <w:t>（７）災害や感染症対策に係る体制整備</w:t>
      </w:r>
      <w:bookmarkEnd w:id="14"/>
    </w:p>
    <w:p>
      <w:pPr>
        <w:pStyle w:val="0"/>
        <w:ind w:left="240" w:leftChars="100" w:firstLine="240" w:firstLineChars="100"/>
        <w:jc w:val="both"/>
        <w:rPr>
          <w:rFonts w:hint="default" w:ascii="メイリオ" w:hAnsi="メイリオ" w:eastAsia="メイリオ"/>
          <w:b w:val="1"/>
          <w:sz w:val="32"/>
          <w:u w:val="single" w:color="auto"/>
        </w:rPr>
        <w:sectPr>
          <w:pgSz w:w="11906" w:h="16838"/>
          <w:pgMar w:top="1440" w:right="1077" w:bottom="907" w:left="1077" w:header="851" w:footer="454" w:gutter="0"/>
          <w:cols w:space="720"/>
          <w:textDirection w:val="lrTb"/>
          <w:docGrid w:type="lines" w:linePitch="360"/>
        </w:sectPr>
      </w:pPr>
      <w:r>
        <w:rPr>
          <w:rFonts w:hint="default"/>
        </w:rPr>
        <w:t>近年の災害発生状況や、新型コロナウイルス感染症の流行を</w:t>
      </w:r>
      <w:r>
        <w:rPr>
          <w:rFonts w:hint="eastAsia"/>
        </w:rPr>
        <w:t>ふ</w:t>
      </w:r>
      <w:r>
        <w:rPr>
          <w:rFonts w:hint="default"/>
        </w:rPr>
        <w:t>まえ、これらへの備えとなる取組を</w:t>
      </w:r>
      <w:r>
        <w:rPr>
          <w:rFonts w:hint="eastAsia"/>
        </w:rPr>
        <w:t>推進</w:t>
      </w:r>
    </w:p>
    <w:p>
      <w:pPr>
        <w:pStyle w:val="3"/>
        <w:ind w:left="0" w:leftChars="0"/>
        <w:rPr>
          <w:rFonts w:hint="default" w:ascii="メイリオ" w:hAnsi="メイリオ" w:eastAsia="メイリオ"/>
          <w:b w:val="1"/>
          <w:sz w:val="28"/>
          <w:u w:val="single" w:color="auto"/>
        </w:rPr>
      </w:pPr>
      <w:bookmarkStart w:id="15" w:name="_Toc59007747"/>
      <w:r>
        <w:rPr>
          <w:rFonts w:hint="eastAsia" w:ascii="メイリオ" w:hAnsi="メイリオ" w:eastAsia="メイリオ"/>
          <w:b w:val="1"/>
          <w:sz w:val="32"/>
          <w:u w:val="single" w:color="auto"/>
        </w:rPr>
        <w:t>５．計画の策定体制</w:t>
      </w:r>
      <w:bookmarkEnd w:id="15"/>
      <w:r>
        <w:rPr>
          <w:rFonts w:hint="eastAsia" w:ascii="メイリオ" w:hAnsi="メイリオ" w:eastAsia="メイリオ"/>
          <w:b w:val="1"/>
          <w:sz w:val="32"/>
          <w:u w:val="single" w:color="auto"/>
        </w:rPr>
        <w:t>　　　　　　　　　　　　　　　　　　　　　　　　　　　</w:t>
      </w:r>
    </w:p>
    <w:p>
      <w:pPr>
        <w:pStyle w:val="4"/>
        <w:ind w:left="0" w:leftChars="0"/>
        <w:rPr>
          <w:rFonts w:hint="default" w:ascii="メイリオ" w:hAnsi="メイリオ" w:eastAsia="メイリオ"/>
          <w:b w:val="0"/>
          <w:sz w:val="28"/>
        </w:rPr>
      </w:pPr>
      <w:bookmarkStart w:id="16" w:name="_Toc59007748"/>
      <w:r>
        <w:rPr>
          <w:rFonts w:hint="eastAsia" w:ascii="メイリオ" w:hAnsi="メイリオ" w:eastAsia="メイリオ"/>
          <w:b w:val="0"/>
          <w:sz w:val="28"/>
        </w:rPr>
        <w:t>（１）計画策定のための審議会等</w:t>
      </w:r>
      <w:bookmarkEnd w:id="16"/>
    </w:p>
    <w:p>
      <w:pPr>
        <w:pStyle w:val="0"/>
        <w:ind w:firstLine="240" w:firstLineChars="100"/>
        <w:jc w:val="both"/>
        <w:rPr>
          <w:rFonts w:hint="default"/>
          <w:color w:val="000000" w:themeColor="text1"/>
        </w:rPr>
      </w:pPr>
      <w:r>
        <w:rPr>
          <w:rFonts w:hint="eastAsia"/>
        </w:rPr>
        <w:t>本計画の策定にあたっては、</w:t>
      </w:r>
      <w:r>
        <w:rPr>
          <w:rFonts w:hint="eastAsia"/>
          <w:color w:val="000000" w:themeColor="text1"/>
        </w:rPr>
        <w:t>令和２</w:t>
      </w:r>
      <w:r>
        <w:rPr>
          <w:rFonts w:hint="default"/>
          <w:color w:val="000000" w:themeColor="text1"/>
        </w:rPr>
        <w:t>年</w:t>
      </w:r>
      <w:r>
        <w:rPr>
          <w:rFonts w:hint="eastAsia"/>
          <w:color w:val="000000" w:themeColor="text1"/>
        </w:rPr>
        <w:t>(2020</w:t>
      </w:r>
      <w:r>
        <w:rPr>
          <w:rFonts w:hint="default"/>
          <w:color w:val="000000" w:themeColor="text1"/>
        </w:rPr>
        <w:t>年</w:t>
      </w:r>
      <w:r>
        <w:rPr>
          <w:rFonts w:hint="eastAsia"/>
          <w:color w:val="000000" w:themeColor="text1"/>
        </w:rPr>
        <w:t>)</w:t>
      </w:r>
      <w:r>
        <w:rPr>
          <w:rFonts w:hint="eastAsia"/>
          <w:color w:val="000000" w:themeColor="text1"/>
        </w:rPr>
        <w:t>２</w:t>
      </w:r>
      <w:r>
        <w:rPr>
          <w:rFonts w:hint="default"/>
          <w:color w:val="000000" w:themeColor="text1"/>
        </w:rPr>
        <w:t>月に</w:t>
      </w:r>
      <w:r>
        <w:rPr>
          <w:rFonts w:hint="eastAsia"/>
          <w:color w:val="000000" w:themeColor="text1"/>
        </w:rPr>
        <w:t>、本市の附属機関である「箕面市保健医療福祉総合審議会」に対し</w:t>
      </w:r>
      <w:r>
        <w:rPr>
          <w:rFonts w:hint="default"/>
          <w:color w:val="000000" w:themeColor="text1"/>
        </w:rPr>
        <w:t>諮問を行い、「箕面市介護サービス評価専門員会議」において、公募市民、保健医療福祉に関する市民団体、関係機関、学識経験者等の委員に</w:t>
      </w:r>
      <w:r>
        <w:rPr>
          <w:rFonts w:hint="eastAsia"/>
          <w:color w:val="000000" w:themeColor="text1"/>
        </w:rPr>
        <w:t>検討いただいた内容をふまえて</w:t>
      </w:r>
      <w:r>
        <w:rPr>
          <w:rFonts w:hint="default"/>
          <w:color w:val="000000" w:themeColor="text1"/>
        </w:rPr>
        <w:t>、同審議会において審議した結果、</w:t>
      </w:r>
      <w:r>
        <w:rPr>
          <w:rFonts w:hint="eastAsia"/>
          <w:color w:val="000000" w:themeColor="text1"/>
        </w:rPr>
        <w:t>令和３</w:t>
      </w:r>
      <w:r>
        <w:rPr>
          <w:rFonts w:hint="default"/>
          <w:color w:val="000000" w:themeColor="text1"/>
        </w:rPr>
        <w:t>年</w:t>
      </w:r>
      <w:r>
        <w:rPr>
          <w:rFonts w:hint="eastAsia"/>
          <w:color w:val="000000" w:themeColor="text1"/>
        </w:rPr>
        <w:t>(</w:t>
      </w:r>
      <w:r>
        <w:rPr>
          <w:rFonts w:hint="default"/>
          <w:color w:val="000000" w:themeColor="text1"/>
        </w:rPr>
        <w:t>20</w:t>
      </w:r>
      <w:r>
        <w:rPr>
          <w:rFonts w:hint="eastAsia"/>
          <w:color w:val="000000" w:themeColor="text1"/>
        </w:rPr>
        <w:t>21</w:t>
      </w:r>
      <w:r>
        <w:rPr>
          <w:rFonts w:hint="default"/>
          <w:color w:val="000000" w:themeColor="text1"/>
        </w:rPr>
        <w:t>年</w:t>
      </w:r>
      <w:r>
        <w:rPr>
          <w:rFonts w:hint="eastAsia"/>
          <w:color w:val="000000" w:themeColor="text1"/>
        </w:rPr>
        <w:t>)</w:t>
      </w:r>
      <w:r>
        <w:rPr>
          <w:rFonts w:hint="eastAsia"/>
          <w:color w:val="FF0000"/>
        </w:rPr>
        <w:t>●</w:t>
      </w:r>
      <w:r>
        <w:rPr>
          <w:rFonts w:hint="default"/>
          <w:color w:val="000000" w:themeColor="text1"/>
        </w:rPr>
        <w:t>月に答申が</w:t>
      </w:r>
    </w:p>
    <w:p>
      <w:pPr>
        <w:pStyle w:val="0"/>
        <w:jc w:val="both"/>
        <w:rPr>
          <w:rFonts w:hint="default"/>
          <w:color w:val="000000" w:themeColor="text1"/>
        </w:rPr>
      </w:pPr>
      <w:r>
        <w:rPr>
          <w:rFonts w:hint="default"/>
          <w:color w:val="000000" w:themeColor="text1"/>
        </w:rPr>
        <w:t>とりまとめられ</w:t>
      </w:r>
      <w:r>
        <w:rPr>
          <w:rFonts w:hint="eastAsia"/>
          <w:color w:val="000000" w:themeColor="text1"/>
        </w:rPr>
        <w:t>ました。</w:t>
      </w:r>
    </w:p>
    <w:p>
      <w:pPr>
        <w:pStyle w:val="0"/>
        <w:ind w:firstLine="240"/>
        <w:jc w:val="both"/>
        <w:rPr>
          <w:rFonts w:hint="default"/>
        </w:rPr>
      </w:pPr>
      <w:r>
        <w:rPr>
          <w:rFonts w:hint="eastAsia"/>
        </w:rPr>
        <w:t>また、計画を主担する健康福祉部だけでなく、介護保険を主担する市民部などの庁内の関係部署が連携して問題意識を共有し、相互に協力して計画の検討及び立案ができる庁内体制をとりました。</w:t>
      </w:r>
    </w:p>
    <w:p>
      <w:pPr>
        <w:pStyle w:val="0"/>
        <w:rPr>
          <w:rFonts w:hint="default"/>
        </w:rPr>
      </w:pPr>
    </w:p>
    <w:p>
      <w:pPr>
        <w:pStyle w:val="4"/>
        <w:ind w:left="0" w:leftChars="0"/>
        <w:rPr>
          <w:rFonts w:hint="default" w:ascii="メイリオ" w:hAnsi="メイリオ" w:eastAsia="メイリオ"/>
          <w:b w:val="0"/>
          <w:sz w:val="28"/>
        </w:rPr>
      </w:pPr>
      <w:bookmarkStart w:id="17" w:name="_Toc59007749"/>
      <w:r>
        <w:rPr>
          <w:rFonts w:hint="eastAsia" w:ascii="メイリオ" w:hAnsi="メイリオ" w:eastAsia="メイリオ"/>
          <w:b w:val="0"/>
          <w:sz w:val="28"/>
        </w:rPr>
        <w:t>（２）市民参加と周知</w:t>
      </w:r>
      <w:bookmarkEnd w:id="17"/>
    </w:p>
    <w:p>
      <w:pPr>
        <w:pStyle w:val="0"/>
        <w:ind w:firstLine="240" w:firstLineChars="100"/>
        <w:jc w:val="both"/>
        <w:rPr>
          <w:rFonts w:hint="default"/>
          <w:color w:val="000000" w:themeColor="text1"/>
        </w:rPr>
      </w:pPr>
      <w:r>
        <w:rPr>
          <w:rFonts w:hint="eastAsia"/>
        </w:rPr>
        <w:t>本計画の策定にあたっては、広報活動の充実を図るとともに、箕面市市民参加条例等の趣旨をふまえ、意見の募集（パブリックコメントの実施）など、多様な市民参加と広報を展開し、市民の意見・提言を計画に反映することに努めま</w:t>
      </w:r>
      <w:r>
        <w:rPr>
          <w:rFonts w:hint="eastAsia"/>
          <w:color w:val="000000" w:themeColor="text1"/>
        </w:rPr>
        <w:t>した。</w:t>
      </w:r>
    </w:p>
    <w:p>
      <w:pPr>
        <w:pStyle w:val="0"/>
        <w:rPr>
          <w:rFonts w:hint="default"/>
        </w:rPr>
      </w:pPr>
    </w:p>
    <w:p>
      <w:pPr>
        <w:pStyle w:val="4"/>
        <w:ind w:left="0" w:leftChars="0"/>
        <w:rPr>
          <w:rFonts w:hint="default" w:ascii="メイリオ" w:hAnsi="メイリオ" w:eastAsia="メイリオ"/>
          <w:b w:val="0"/>
          <w:sz w:val="28"/>
        </w:rPr>
      </w:pPr>
      <w:bookmarkStart w:id="18" w:name="_Toc59007750"/>
      <w:r>
        <w:rPr>
          <w:rFonts w:hint="eastAsia" w:ascii="メイリオ" w:hAnsi="メイリオ" w:eastAsia="メイリオ"/>
          <w:b w:val="0"/>
          <w:sz w:val="28"/>
        </w:rPr>
        <w:t>（３）高齢者等実態調査結果等の反映</w:t>
      </w:r>
      <w:bookmarkEnd w:id="18"/>
    </w:p>
    <w:p>
      <w:pPr>
        <w:pStyle w:val="0"/>
        <w:ind w:firstLine="240" w:firstLineChars="100"/>
        <w:jc w:val="both"/>
        <w:rPr>
          <w:rFonts w:hint="default"/>
        </w:rPr>
      </w:pPr>
      <w:r>
        <w:rPr>
          <w:rFonts w:hint="eastAsia"/>
        </w:rPr>
        <w:t>令和２年</w:t>
      </w:r>
      <w:r>
        <w:rPr>
          <w:rFonts w:hint="eastAsia"/>
        </w:rPr>
        <w:t>(</w:t>
      </w:r>
      <w:r>
        <w:rPr>
          <w:rFonts w:hint="default"/>
        </w:rPr>
        <w:t>20</w:t>
      </w:r>
      <w:r>
        <w:rPr>
          <w:rFonts w:hint="eastAsia"/>
        </w:rPr>
        <w:t>20</w:t>
      </w:r>
      <w:r>
        <w:rPr>
          <w:rFonts w:hint="default"/>
        </w:rPr>
        <w:t>年</w:t>
      </w:r>
      <w:r>
        <w:rPr>
          <w:rFonts w:hint="eastAsia"/>
        </w:rPr>
        <w:t>)</w:t>
      </w:r>
      <w:r>
        <w:rPr>
          <w:rFonts w:hint="eastAsia"/>
        </w:rPr>
        <w:t>１</w:t>
      </w:r>
      <w:r>
        <w:rPr>
          <w:rFonts w:hint="default"/>
        </w:rPr>
        <w:t>月</w:t>
      </w:r>
      <w:r>
        <w:rPr>
          <w:rFonts w:hint="eastAsia"/>
        </w:rPr>
        <w:t>から２月にかけて</w:t>
      </w:r>
      <w:r>
        <w:rPr>
          <w:rFonts w:hint="default"/>
        </w:rPr>
        <w:t>本計画策定のためのアンケート調査を実施し、</w:t>
      </w:r>
    </w:p>
    <w:p>
      <w:pPr>
        <w:pStyle w:val="0"/>
        <w:jc w:val="both"/>
        <w:rPr>
          <w:rFonts w:hint="default"/>
        </w:rPr>
      </w:pPr>
      <w:r>
        <w:rPr>
          <w:rFonts w:hint="default"/>
        </w:rPr>
        <w:t>第１号被保険者、第２号被保険者及び要支援・要介護認定者</w:t>
      </w:r>
      <w:r>
        <w:rPr>
          <w:rFonts w:hint="eastAsia"/>
        </w:rPr>
        <w:t>の利用者</w:t>
      </w:r>
      <w:r>
        <w:rPr>
          <w:rFonts w:hint="default"/>
        </w:rPr>
        <w:t>の生活実態、ニーズなどの的確な把握に努め、分析結果を本計画に反映しました。</w:t>
      </w:r>
    </w:p>
    <w:p>
      <w:pPr>
        <w:pStyle w:val="0"/>
        <w:ind w:firstLine="240" w:firstLineChars="100"/>
        <w:jc w:val="both"/>
        <w:rPr>
          <w:rFonts w:hint="default"/>
        </w:rPr>
      </w:pPr>
      <w:r>
        <w:rPr>
          <w:rFonts w:hint="eastAsia"/>
        </w:rPr>
        <w:t>また、令和２</w:t>
      </w:r>
      <w:r>
        <w:rPr>
          <w:rFonts w:hint="default"/>
        </w:rPr>
        <w:t>年</w:t>
      </w:r>
      <w:r>
        <w:rPr>
          <w:rFonts w:hint="eastAsia"/>
        </w:rPr>
        <w:t>(</w:t>
      </w:r>
      <w:r>
        <w:rPr>
          <w:rFonts w:hint="default"/>
        </w:rPr>
        <w:t>20</w:t>
      </w:r>
      <w:r>
        <w:rPr>
          <w:rFonts w:hint="eastAsia"/>
        </w:rPr>
        <w:t>20</w:t>
      </w:r>
      <w:r>
        <w:rPr>
          <w:rFonts w:hint="default"/>
        </w:rPr>
        <w:t>年</w:t>
      </w:r>
      <w:r>
        <w:rPr>
          <w:rFonts w:hint="eastAsia"/>
        </w:rPr>
        <w:t>)</w:t>
      </w:r>
      <w:r>
        <w:rPr>
          <w:rFonts w:hint="eastAsia"/>
        </w:rPr>
        <w:t>２月から６月にかけて、家族介護者を対象に在宅介護実態調査</w:t>
      </w:r>
    </w:p>
    <w:p>
      <w:pPr>
        <w:pStyle w:val="0"/>
        <w:jc w:val="both"/>
        <w:rPr>
          <w:rFonts w:hint="default"/>
        </w:rPr>
      </w:pPr>
      <w:r>
        <w:rPr>
          <w:rFonts w:hint="eastAsia"/>
        </w:rPr>
        <w:t>を実施したほか、同年７</w:t>
      </w:r>
      <w:r>
        <w:rPr>
          <w:rFonts w:hint="default"/>
        </w:rPr>
        <w:t>月から</w:t>
      </w:r>
      <w:r>
        <w:rPr>
          <w:rFonts w:hint="eastAsia"/>
        </w:rPr>
        <w:t>８</w:t>
      </w:r>
      <w:r>
        <w:rPr>
          <w:rFonts w:hint="default"/>
        </w:rPr>
        <w:t>月にかけて介護サービス事業者及び介護者団体を対象とした</w:t>
      </w:r>
      <w:r>
        <w:rPr>
          <w:rFonts w:hint="eastAsia"/>
        </w:rPr>
        <w:t>アンケート</w:t>
      </w:r>
      <w:r>
        <w:rPr>
          <w:rFonts w:hint="default"/>
        </w:rPr>
        <w:t>を実施し、事業者や介護者から得られた意見等を本計画に反映しました。</w:t>
      </w:r>
    </w:p>
    <w:p>
      <w:pPr>
        <w:pStyle w:val="0"/>
        <w:rPr>
          <w:rFonts w:hint="default"/>
        </w:rPr>
      </w:pPr>
    </w:p>
    <w:p>
      <w:pPr>
        <w:pStyle w:val="4"/>
        <w:ind w:left="0" w:leftChars="0"/>
        <w:rPr>
          <w:rFonts w:hint="default" w:ascii="メイリオ" w:hAnsi="メイリオ" w:eastAsia="メイリオ"/>
          <w:b w:val="0"/>
          <w:sz w:val="28"/>
        </w:rPr>
      </w:pPr>
      <w:bookmarkStart w:id="19" w:name="_Toc59007751"/>
      <w:r>
        <w:rPr>
          <w:rFonts w:hint="eastAsia" w:ascii="メイリオ" w:hAnsi="メイリオ" w:eastAsia="メイリオ"/>
          <w:b w:val="0"/>
          <w:sz w:val="28"/>
        </w:rPr>
        <w:t>（４）大阪府との連携</w:t>
      </w:r>
      <w:bookmarkEnd w:id="19"/>
    </w:p>
    <w:p>
      <w:pPr>
        <w:pStyle w:val="0"/>
        <w:ind w:firstLine="240" w:firstLineChars="100"/>
        <w:jc w:val="both"/>
        <w:rPr>
          <w:rFonts w:hint="default"/>
        </w:rPr>
      </w:pPr>
      <w:r>
        <w:rPr>
          <w:rFonts w:hint="eastAsia"/>
        </w:rPr>
        <w:t>本計画の策定にあたっては、計画作成上の技術的事項に関する助言や、施設の整備等に関する広域的調整を担う大阪府との連携が重要です。本市では、適宜、大阪府と意見交換の機会を持ちながら、</w:t>
      </w:r>
      <w:r>
        <w:rPr>
          <w:rFonts w:hint="default"/>
        </w:rPr>
        <w:t>本計画</w:t>
      </w:r>
      <w:r>
        <w:rPr>
          <w:rFonts w:hint="eastAsia"/>
        </w:rPr>
        <w:t>の</w:t>
      </w:r>
      <w:r>
        <w:rPr>
          <w:rFonts w:hint="default"/>
        </w:rPr>
        <w:t>策定</w:t>
      </w:r>
      <w:r>
        <w:rPr>
          <w:rFonts w:hint="eastAsia"/>
        </w:rPr>
        <w:t>に取り組みました。</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0" w:name="_Toc59007752"/>
      <w:r>
        <w:rPr>
          <w:rFonts w:hint="eastAsia" w:ascii="メイリオ" w:hAnsi="メイリオ" w:eastAsia="メイリオ"/>
          <w:b w:val="1"/>
          <w:sz w:val="32"/>
          <w:u w:val="single" w:color="auto"/>
        </w:rPr>
        <w:t>６．計画や制度の周知</w:t>
      </w:r>
      <w:bookmarkEnd w:id="20"/>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本計画策定後も、市民の意見を反映しながら、計画を円滑に推進していくために、広報紙もみじだよりやコミュニティＦＭ放送（タッキー</w:t>
      </w:r>
      <w:r>
        <w:rPr>
          <w:rFonts w:hint="default"/>
        </w:rPr>
        <w:t>816</w:t>
      </w:r>
      <w:r>
        <w:rPr>
          <w:rFonts w:hint="default"/>
        </w:rPr>
        <w:t>）、市ホームページなどを充分に活用し、制度や事業に関する市民への広報に努めます。また、民間事業者や各種団体などが発信する情報を収集し、必要に応じて、市民へ情報提供していきます。</w:t>
      </w:r>
    </w:p>
    <w:p>
      <w:pPr>
        <w:pStyle w:val="0"/>
        <w:ind w:firstLine="240" w:firstLineChars="100"/>
        <w:jc w:val="both"/>
        <w:rPr>
          <w:rFonts w:hint="default"/>
        </w:rPr>
      </w:pPr>
      <w:r>
        <w:rPr>
          <w:rFonts w:hint="eastAsia"/>
        </w:rPr>
        <w:t>特に、情報が行き届きにくいひとり暮らし高齢者、認知症高齢者、障害者、外国人等に配慮しながら、高齢者や介護者を含め、幅広く市民へわかりやすい説明を行うよう努めるとともに、本計画書の点字版・音訳版の作成等を行います。</w:t>
      </w: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2"/>
        <w:rPr>
          <w:rFonts w:hint="default"/>
        </w:rPr>
      </w:pPr>
      <w:bookmarkStart w:id="21" w:name="_Toc59007753"/>
      <w:r>
        <w:rPr>
          <w:rFonts w:hint="eastAsia"/>
        </w:rPr>
        <w:drawing>
          <wp:anchor distT="0" distB="0" distL="114300" distR="114300" simplePos="0" relativeHeight="4" behindDoc="0" locked="0" layoutInCell="1" hidden="0" allowOverlap="1">
            <wp:simplePos x="0" y="0"/>
            <wp:positionH relativeFrom="column">
              <wp:posOffset>0</wp:posOffset>
            </wp:positionH>
            <wp:positionV relativeFrom="paragraph">
              <wp:posOffset>-431800</wp:posOffset>
            </wp:positionV>
            <wp:extent cx="6188710" cy="807085"/>
            <wp:effectExtent l="0" t="0" r="0" b="0"/>
            <wp:wrapNone/>
            <wp:docPr id="1034" name="1-2.bmp"/>
            <a:graphic xmlns:a="http://schemas.openxmlformats.org/drawingml/2006/main">
              <a:graphicData uri="http://schemas.openxmlformats.org/drawingml/2006/picture">
                <pic:pic xmlns:pic="http://schemas.openxmlformats.org/drawingml/2006/picture">
                  <pic:nvPicPr>
                    <pic:cNvPr id="1034" name="1-2.bmp"/>
                    <pic:cNvPicPr/>
                  </pic:nvPicPr>
                  <pic:blipFill>
                    <a:blip r:embed="rId13"/>
                    <a:stretch>
                      <a:fillRect/>
                    </a:stretch>
                  </pic:blipFill>
                  <pic:spPr>
                    <a:xfrm>
                      <a:off x="0" y="0"/>
                      <a:ext cx="6188710" cy="807085"/>
                    </a:xfrm>
                    <a:prstGeom prst="rect">
                      <a:avLst/>
                    </a:prstGeom>
                  </pic:spPr>
                </pic:pic>
              </a:graphicData>
            </a:graphic>
          </wp:anchor>
        </w:drawing>
      </w:r>
      <w:r>
        <w:rPr>
          <w:rFonts w:hint="eastAsia"/>
        </w:rPr>
        <w:t>第２章　高齢者を取り巻く現状と課題</w:t>
      </w:r>
      <w:bookmarkEnd w:id="21"/>
    </w:p>
    <w:p>
      <w:pPr>
        <w:pStyle w:val="3"/>
        <w:ind w:left="0" w:leftChars="0"/>
        <w:rPr>
          <w:rFonts w:hint="default" w:ascii="メイリオ" w:hAnsi="メイリオ" w:eastAsia="メイリオ"/>
          <w:b w:val="1"/>
          <w:sz w:val="28"/>
          <w:u w:val="single" w:color="auto"/>
        </w:rPr>
      </w:pPr>
      <w:bookmarkStart w:id="22" w:name="_Toc59007754"/>
      <w:r>
        <w:rPr>
          <w:rFonts w:hint="eastAsia" w:ascii="メイリオ" w:hAnsi="メイリオ" w:eastAsia="メイリオ"/>
          <w:b w:val="1"/>
          <w:sz w:val="32"/>
          <w:u w:val="single" w:color="auto"/>
        </w:rPr>
        <w:t>１．高齢者の状況</w:t>
      </w:r>
      <w:bookmarkEnd w:id="22"/>
      <w:r>
        <w:rPr>
          <w:rFonts w:hint="eastAsia" w:ascii="メイリオ" w:hAnsi="メイリオ" w:eastAsia="メイリオ"/>
          <w:b w:val="1"/>
          <w:sz w:val="32"/>
          <w:u w:val="single" w:color="auto"/>
        </w:rPr>
        <w:t>　　　　　　　　　　　　　　　　　　　　　　　　　　　　</w:t>
      </w:r>
    </w:p>
    <w:p>
      <w:pPr>
        <w:pStyle w:val="4"/>
        <w:ind w:left="0" w:leftChars="0"/>
        <w:rPr>
          <w:rFonts w:hint="default" w:ascii="メイリオ" w:hAnsi="メイリオ" w:eastAsia="メイリオ"/>
          <w:b w:val="0"/>
          <w:sz w:val="28"/>
        </w:rPr>
      </w:pPr>
      <w:bookmarkStart w:id="23" w:name="_Toc59007755"/>
      <w:r>
        <w:rPr>
          <w:rFonts w:hint="eastAsia" w:ascii="メイリオ" w:hAnsi="メイリオ" w:eastAsia="メイリオ"/>
          <w:b w:val="0"/>
          <w:sz w:val="28"/>
        </w:rPr>
        <w:t>（１）高齢者人口の推移</w:t>
      </w:r>
      <w:bookmarkEnd w:id="23"/>
    </w:p>
    <w:p>
      <w:pPr>
        <w:pStyle w:val="0"/>
        <w:ind w:firstLine="240" w:firstLineChars="100"/>
        <w:jc w:val="both"/>
        <w:rPr>
          <w:rFonts w:hint="default"/>
          <w:color w:val="000000" w:themeColor="text1"/>
        </w:rPr>
      </w:pPr>
      <w:r>
        <w:rPr>
          <w:rFonts w:hint="eastAsia"/>
          <w:color w:val="000000" w:themeColor="text1"/>
        </w:rPr>
        <w:t>本市の人口は増加傾向にあり、令和２</w:t>
      </w:r>
      <w:r>
        <w:rPr>
          <w:rFonts w:hint="default"/>
          <w:color w:val="000000" w:themeColor="text1"/>
        </w:rPr>
        <w:t>年</w:t>
      </w:r>
      <w:r>
        <w:rPr>
          <w:rFonts w:hint="eastAsia"/>
          <w:color w:val="000000" w:themeColor="text1"/>
        </w:rPr>
        <w:t>(2020</w:t>
      </w:r>
      <w:r>
        <w:rPr>
          <w:rFonts w:hint="eastAsia"/>
          <w:color w:val="000000" w:themeColor="text1"/>
        </w:rPr>
        <w:t>年</w:t>
      </w:r>
      <w:r>
        <w:rPr>
          <w:rFonts w:hint="eastAsia"/>
          <w:color w:val="000000" w:themeColor="text1"/>
        </w:rPr>
        <w:t>)</w:t>
      </w:r>
      <w:r>
        <w:rPr>
          <w:rFonts w:hint="eastAsia"/>
          <w:color w:val="000000" w:themeColor="text1"/>
        </w:rPr>
        <w:t>９</w:t>
      </w:r>
      <w:r>
        <w:rPr>
          <w:rFonts w:hint="default"/>
          <w:color w:val="000000" w:themeColor="text1"/>
        </w:rPr>
        <w:t>月末現在で</w:t>
      </w:r>
      <w:r>
        <w:rPr>
          <w:rFonts w:hint="default"/>
          <w:color w:val="000000" w:themeColor="text1"/>
        </w:rPr>
        <w:t>138,572</w:t>
      </w:r>
      <w:r>
        <w:rPr>
          <w:rFonts w:hint="default"/>
          <w:color w:val="000000" w:themeColor="text1"/>
        </w:rPr>
        <w:t>人となっていま</w:t>
      </w:r>
    </w:p>
    <w:p>
      <w:pPr>
        <w:pStyle w:val="0"/>
        <w:jc w:val="both"/>
        <w:rPr>
          <w:rFonts w:hint="default"/>
        </w:rPr>
      </w:pPr>
      <w:r>
        <w:rPr>
          <w:rFonts w:hint="default"/>
          <w:color w:val="000000" w:themeColor="text1"/>
        </w:rPr>
        <w:t>す。</w:t>
      </w:r>
      <w:r>
        <w:rPr>
          <w:rFonts w:hint="eastAsia"/>
          <w:color w:val="000000" w:themeColor="text1"/>
        </w:rPr>
        <w:t>また、高齢化率・後期高齢化率については、本市は国より低い値で推</w:t>
      </w:r>
      <w:r>
        <w:rPr>
          <w:rFonts w:hint="eastAsia"/>
        </w:rPr>
        <w:t>移しており、平成</w:t>
      </w:r>
      <w:r>
        <w:rPr>
          <w:rFonts w:hint="eastAsia"/>
        </w:rPr>
        <w:t>2</w:t>
      </w:r>
      <w:r>
        <w:rPr>
          <w:rFonts w:hint="default"/>
        </w:rPr>
        <w:t>5</w:t>
      </w:r>
      <w:r>
        <w:rPr>
          <w:rFonts w:hint="default"/>
        </w:rPr>
        <w:t>年度</w:t>
      </w:r>
      <w:r>
        <w:rPr>
          <w:rFonts w:hint="eastAsia"/>
        </w:rPr>
        <w:t>(2013</w:t>
      </w:r>
      <w:r>
        <w:rPr>
          <w:rFonts w:hint="eastAsia"/>
        </w:rPr>
        <w:t>年度</w:t>
      </w:r>
      <w:r>
        <w:rPr>
          <w:rFonts w:hint="default"/>
        </w:rPr>
        <w:t>)</w:t>
      </w:r>
      <w:r>
        <w:rPr>
          <w:rFonts w:hint="default"/>
        </w:rPr>
        <w:t>と</w:t>
      </w:r>
      <w:r>
        <w:rPr>
          <w:rFonts w:hint="eastAsia"/>
        </w:rPr>
        <w:t>令和２</w:t>
      </w:r>
      <w:r>
        <w:rPr>
          <w:rFonts w:hint="default"/>
        </w:rPr>
        <w:t>年度</w:t>
      </w:r>
      <w:r>
        <w:rPr>
          <w:rFonts w:hint="eastAsia"/>
        </w:rPr>
        <w:t>(</w:t>
      </w:r>
      <w:r>
        <w:rPr>
          <w:rFonts w:hint="default"/>
        </w:rPr>
        <w:t>20</w:t>
      </w:r>
      <w:r>
        <w:rPr>
          <w:rFonts w:hint="eastAsia"/>
        </w:rPr>
        <w:t>20</w:t>
      </w:r>
      <w:r>
        <w:rPr>
          <w:rFonts w:hint="eastAsia"/>
        </w:rPr>
        <w:t>年度</w:t>
      </w:r>
      <w:r>
        <w:rPr>
          <w:rFonts w:hint="default"/>
        </w:rPr>
        <w:t>)</w:t>
      </w:r>
      <w:r>
        <w:rPr>
          <w:rFonts w:hint="default"/>
        </w:rPr>
        <w:t>の高齢化率を比較すると、国は</w:t>
      </w:r>
      <w:r>
        <w:rPr>
          <w:rFonts w:hint="default"/>
        </w:rPr>
        <w:t>3.6</w:t>
      </w:r>
      <w:r>
        <w:rPr>
          <w:rFonts w:hint="default"/>
        </w:rPr>
        <w:t>ポイント増であるのに対し、本市は</w:t>
      </w:r>
      <w:r>
        <w:rPr>
          <w:rFonts w:hint="default"/>
        </w:rPr>
        <w:t>2.9</w:t>
      </w:r>
      <w:r>
        <w:rPr>
          <w:rFonts w:hint="default"/>
        </w:rPr>
        <w:t>ポイント増となっており、本市の高齢化の速度は、国よりも遅い状況にあります</w:t>
      </w:r>
      <w:r>
        <w:rPr>
          <w:rFonts w:hint="eastAsia"/>
        </w:rPr>
        <w:t>。しかし、</w:t>
      </w:r>
      <w:r>
        <w:rPr>
          <w:rFonts w:hint="default"/>
        </w:rPr>
        <w:t>平成</w:t>
      </w:r>
      <w:r>
        <w:rPr>
          <w:rFonts w:hint="default"/>
        </w:rPr>
        <w:t>2</w:t>
      </w:r>
      <w:r>
        <w:rPr>
          <w:rFonts w:hint="eastAsia"/>
        </w:rPr>
        <w:t>5</w:t>
      </w:r>
      <w:r>
        <w:rPr>
          <w:rFonts w:hint="default"/>
        </w:rPr>
        <w:t>年度と</w:t>
      </w:r>
      <w:r>
        <w:rPr>
          <w:rFonts w:hint="eastAsia"/>
        </w:rPr>
        <w:t>令和２</w:t>
      </w:r>
      <w:r>
        <w:rPr>
          <w:rFonts w:hint="default"/>
        </w:rPr>
        <w:t>年度の後期高齢化率を比較すると、国は</w:t>
      </w:r>
      <w:r>
        <w:rPr>
          <w:rFonts w:hint="default"/>
        </w:rPr>
        <w:t>2.</w:t>
      </w:r>
      <w:r>
        <w:rPr>
          <w:rFonts w:hint="eastAsia"/>
        </w:rPr>
        <w:t>5</w:t>
      </w:r>
      <w:r>
        <w:rPr>
          <w:rFonts w:hint="default"/>
        </w:rPr>
        <w:t>ポイント増であるのに対し、本市は</w:t>
      </w:r>
      <w:r>
        <w:rPr>
          <w:rFonts w:hint="default"/>
        </w:rPr>
        <w:t>3.6</w:t>
      </w:r>
      <w:r>
        <w:rPr>
          <w:rFonts w:hint="default"/>
        </w:rPr>
        <w:t>ポイント増となっており、本市の後期高齢化の速度は、国よりも速い状況にあります。</w:t>
      </w:r>
    </w:p>
    <w:p>
      <w:pPr>
        <w:pStyle w:val="0"/>
        <w:rPr>
          <w:rFonts w:hint="default"/>
        </w:rPr>
      </w:pPr>
      <w:r>
        <w:rPr>
          <w:rFonts w:hint="default"/>
        </w:rPr>
        <w:drawing>
          <wp:anchor distT="0" distB="0" distL="114300" distR="114300" simplePos="0" relativeHeight="69" behindDoc="1" locked="0" layoutInCell="1" hidden="0" allowOverlap="1">
            <wp:simplePos x="0" y="0"/>
            <wp:positionH relativeFrom="column">
              <wp:posOffset>1905</wp:posOffset>
            </wp:positionH>
            <wp:positionV relativeFrom="paragraph">
              <wp:posOffset>228600</wp:posOffset>
            </wp:positionV>
            <wp:extent cx="6192520" cy="2739390"/>
            <wp:effectExtent l="0" t="0" r="0" b="0"/>
            <wp:wrapNone/>
            <wp:docPr id="1035" name="Picture 2"/>
            <a:graphic xmlns:a="http://schemas.openxmlformats.org/drawingml/2006/main">
              <a:graphicData uri="http://schemas.openxmlformats.org/drawingml/2006/picture">
                <pic:pic xmlns:pic="http://schemas.openxmlformats.org/drawingml/2006/picture">
                  <pic:nvPicPr>
                    <pic:cNvPr id="1035" name="Picture 2"/>
                    <pic:cNvPicPr>
                      <a:picLocks noChangeAspect="1" noChangeArrowheads="1"/>
                    </pic:cNvPicPr>
                  </pic:nvPicPr>
                  <pic:blipFill>
                    <a:blip r:embed="rId14"/>
                    <a:stretch>
                      <a:fillRect/>
                    </a:stretch>
                  </pic:blipFill>
                  <pic:spPr>
                    <a:xfrm>
                      <a:off x="0" y="0"/>
                      <a:ext cx="6192520" cy="2739390"/>
                    </a:xfrm>
                    <a:prstGeom prst="rect">
                      <a:avLst/>
                    </a:prstGeom>
                    <a:noFill/>
                    <a:ln>
                      <a:noFill/>
                    </a:ln>
                  </pic:spPr>
                </pic:pic>
              </a:graphicData>
            </a:graphic>
          </wp:anchor>
        </w:drawing>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図表２：箕面市総人口・高齢者人口の推移</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rPr>
          <w:rFonts w:hint="default"/>
        </w:rPr>
      </w:pPr>
    </w:p>
    <w:p>
      <w:pPr>
        <w:pStyle w:val="0"/>
        <w:rPr>
          <w:rFonts w:hint="default"/>
        </w:rPr>
      </w:pPr>
    </w:p>
    <w:p>
      <w:pPr>
        <w:pStyle w:val="0"/>
        <w:rPr>
          <w:rFonts w:hint="default"/>
        </w:rPr>
      </w:pPr>
      <w:r>
        <w:rPr>
          <w:rFonts w:hint="default" w:ascii="ＭＳ ゴシック" w:hAnsi="ＭＳ ゴシック" w:eastAsia="ＭＳ ゴシック"/>
          <w:sz w:val="21"/>
        </w:rPr>
        <w:drawing>
          <wp:anchor distT="0" distB="0" distL="114300" distR="114300" simplePos="0" relativeHeight="70" behindDoc="1" locked="0" layoutInCell="1" hidden="0" allowOverlap="1">
            <wp:simplePos x="0" y="0"/>
            <wp:positionH relativeFrom="column">
              <wp:posOffset>1905</wp:posOffset>
            </wp:positionH>
            <wp:positionV relativeFrom="paragraph">
              <wp:posOffset>76200</wp:posOffset>
            </wp:positionV>
            <wp:extent cx="6192520" cy="2647950"/>
            <wp:effectExtent l="0" t="0" r="0" b="0"/>
            <wp:wrapNone/>
            <wp:docPr id="1036" name="Picture 3"/>
            <a:graphic xmlns:a="http://schemas.openxmlformats.org/drawingml/2006/main">
              <a:graphicData uri="http://schemas.openxmlformats.org/drawingml/2006/picture">
                <pic:pic xmlns:pic="http://schemas.openxmlformats.org/drawingml/2006/picture">
                  <pic:nvPicPr>
                    <pic:cNvPr id="1036" name="Picture 3"/>
                    <pic:cNvPicPr>
                      <a:picLocks noChangeAspect="1" noChangeArrowheads="1"/>
                    </pic:cNvPicPr>
                  </pic:nvPicPr>
                  <pic:blipFill>
                    <a:blip r:embed="rId15"/>
                    <a:srcRect b="3001"/>
                    <a:stretch>
                      <a:fillRect/>
                    </a:stretch>
                  </pic:blipFill>
                  <pic:spPr>
                    <a:xfrm>
                      <a:off x="0" y="0"/>
                      <a:ext cx="6192520" cy="2647950"/>
                    </a:xfrm>
                    <a:prstGeom prst="rect">
                      <a:avLst/>
                    </a:prstGeom>
                    <a:noFill/>
                    <a:ln>
                      <a:noFill/>
                    </a:ln>
                  </pic:spPr>
                </pic:pic>
              </a:graphicData>
            </a:graphic>
          </wp:anchor>
        </w:drawing>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図表３：高齢化率・後期高齢化率の推移</w:t>
      </w:r>
    </w:p>
    <w:p>
      <w:pPr>
        <w:pStyle w:val="0"/>
        <w:jc w:val="center"/>
        <w:rPr>
          <w:rFonts w:hint="default" w:ascii="ＭＳ ゴシック" w:hAnsi="ＭＳ ゴシック" w:eastAsia="ＭＳ ゴシック"/>
          <w:sz w:val="21"/>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sz w:val="20"/>
        </w:rPr>
      </w:pPr>
    </w:p>
    <w:p>
      <w:pPr>
        <w:pStyle w:val="0"/>
        <w:rPr>
          <w:rFonts w:hint="default"/>
          <w:sz w:val="20"/>
        </w:rPr>
      </w:pPr>
    </w:p>
    <w:p>
      <w:pPr>
        <w:pStyle w:val="0"/>
        <w:ind w:right="106" w:rightChars="44" w:firstLine="400" w:firstLineChars="200"/>
        <w:rPr>
          <w:rFonts w:hint="default"/>
        </w:rPr>
      </w:pPr>
      <w:r>
        <w:rPr>
          <w:rFonts w:hint="eastAsia"/>
          <w:sz w:val="20"/>
        </w:rPr>
        <w:t>※箕面市は住民基本台帳（各年度９</w:t>
      </w:r>
      <w:r>
        <w:rPr>
          <w:rFonts w:hint="default"/>
          <w:sz w:val="20"/>
        </w:rPr>
        <w:t>月末）、全国は総務省統計局「人口推計」（各年</w:t>
      </w:r>
      <w:r>
        <w:rPr>
          <w:rFonts w:hint="eastAsia"/>
          <w:sz w:val="20"/>
        </w:rPr>
        <w:t>度</w:t>
      </w:r>
      <w:r>
        <w:rPr>
          <w:rFonts w:hint="default"/>
          <w:sz w:val="20"/>
        </w:rPr>
        <w:t>10</w:t>
      </w:r>
      <w:r>
        <w:rPr>
          <w:rFonts w:hint="default"/>
          <w:sz w:val="20"/>
        </w:rPr>
        <w:t>月</w:t>
      </w:r>
      <w:r>
        <w:rPr>
          <w:rFonts w:hint="eastAsia"/>
          <w:sz w:val="20"/>
        </w:rPr>
        <w:t>１</w:t>
      </w:r>
      <w:r>
        <w:rPr>
          <w:rFonts w:hint="default"/>
          <w:sz w:val="20"/>
        </w:rPr>
        <w:t>日）</w:t>
      </w:r>
    </w:p>
    <w:p>
      <w:pPr>
        <w:rPr>
          <w:rFonts w:hint="default" w:ascii="メイリオ" w:hAnsi="メイリオ" w:eastAsia="メイリオ"/>
          <w:sz w:val="28"/>
        </w:rPr>
        <w:sectPr>
          <w:pgSz w:w="11906" w:h="16838"/>
          <w:pgMar w:top="1440" w:right="1077" w:bottom="851" w:left="1077" w:header="851" w:footer="454" w:gutter="0"/>
          <w:cols w:space="720"/>
          <w:textDirection w:val="lrTb"/>
          <w:docGrid w:type="lines" w:linePitch="360"/>
        </w:sectPr>
      </w:pPr>
    </w:p>
    <w:p>
      <w:pPr>
        <w:pStyle w:val="0"/>
        <w:ind w:firstLine="240" w:firstLineChars="100"/>
        <w:jc w:val="both"/>
        <w:rPr>
          <w:rFonts w:hint="default"/>
        </w:rPr>
      </w:pPr>
      <w:r>
        <w:rPr>
          <w:rFonts w:hint="eastAsia"/>
        </w:rPr>
        <w:t>今後、国においては後期高齢者人口が増加していきますが、担い手である生産年齢人口（</w:t>
      </w:r>
      <w:r>
        <w:rPr>
          <w:rFonts w:hint="eastAsia"/>
        </w:rPr>
        <w:t>15</w:t>
      </w:r>
      <w:r>
        <w:rPr>
          <w:rFonts w:hint="eastAsia"/>
        </w:rPr>
        <w:t>～</w:t>
      </w:r>
      <w:r>
        <w:rPr>
          <w:rFonts w:hint="eastAsia"/>
        </w:rPr>
        <w:t>64</w:t>
      </w:r>
      <w:r>
        <w:rPr>
          <w:rFonts w:hint="eastAsia"/>
        </w:rPr>
        <w:t>歳人口）は全国的には減少することが予測されています。</w:t>
      </w:r>
    </w:p>
    <w:p>
      <w:pPr>
        <w:pStyle w:val="0"/>
        <w:ind w:firstLine="240" w:firstLineChars="100"/>
        <w:jc w:val="both"/>
        <w:rPr>
          <w:rFonts w:hint="default"/>
          <w:sz w:val="28"/>
        </w:rPr>
      </w:pPr>
      <w:r>
        <w:rPr>
          <w:rFonts w:hint="eastAsia"/>
        </w:rPr>
        <w:t>一方、本市では、生産年齢人口はほぼ横ばい状態となっていますが、後期高齢者人口は全国平均を上回って増加していくことが予測されます。</w:t>
      </w:r>
    </w:p>
    <w:p>
      <w:pPr>
        <w:pStyle w:val="0"/>
        <w:rPr>
          <w:rFonts w:hint="default"/>
        </w:rPr>
      </w:pPr>
    </w:p>
    <w:p>
      <w:pPr>
        <w:pStyle w:val="0"/>
        <w:jc w:val="center"/>
        <w:rPr>
          <w:rFonts w:hint="default"/>
        </w:rPr>
      </w:pPr>
      <w:r>
        <w:rPr>
          <w:rFonts w:hint="eastAsia" w:ascii="ＭＳ ゴシック" w:hAnsi="ＭＳ ゴシック" w:eastAsia="ＭＳ ゴシック"/>
          <w:sz w:val="21"/>
        </w:rPr>
        <w:t>図表４：生産年齢人口と後期高齢者人口の推移（令和２年</w:t>
      </w:r>
      <w:r>
        <w:rPr>
          <w:rFonts w:hint="eastAsia" w:ascii="ＭＳ ゴシック" w:hAnsi="ＭＳ ゴシック" w:eastAsia="ＭＳ ゴシック"/>
          <w:sz w:val="21"/>
        </w:rPr>
        <w:t>(2020</w:t>
      </w:r>
      <w:r>
        <w:rPr>
          <w:rFonts w:hint="eastAsia" w:ascii="ＭＳ ゴシック" w:hAnsi="ＭＳ ゴシック" w:eastAsia="ＭＳ ゴシック"/>
          <w:sz w:val="21"/>
        </w:rPr>
        <w:t>年</w:t>
      </w:r>
      <w:r>
        <w:rPr>
          <w:rFonts w:hint="eastAsia" w:ascii="ＭＳ ゴシック" w:hAnsi="ＭＳ ゴシック" w:eastAsia="ＭＳ ゴシック"/>
          <w:sz w:val="21"/>
        </w:rPr>
        <w:t>)</w:t>
      </w:r>
      <w:r>
        <w:rPr>
          <w:rFonts w:hint="eastAsia" w:ascii="ＭＳ ゴシック" w:hAnsi="ＭＳ ゴシック" w:eastAsia="ＭＳ ゴシック"/>
          <w:sz w:val="21"/>
        </w:rPr>
        <w:t>を</w:t>
      </w:r>
      <w:r>
        <w:rPr>
          <w:rFonts w:hint="eastAsia" w:ascii="ＭＳ ゴシック" w:hAnsi="ＭＳ ゴシック" w:eastAsia="ＭＳ ゴシック"/>
          <w:sz w:val="21"/>
        </w:rPr>
        <w:t>100</w:t>
      </w:r>
      <w:r>
        <w:rPr>
          <w:rFonts w:hint="eastAsia" w:ascii="ＭＳ ゴシック" w:hAnsi="ＭＳ ゴシック" w:eastAsia="ＭＳ ゴシック"/>
          <w:sz w:val="21"/>
        </w:rPr>
        <w:t>とした場合）</w:t>
      </w:r>
    </w:p>
    <w:p>
      <w:pPr>
        <w:pStyle w:val="0"/>
        <w:jc w:val="center"/>
        <w:rPr>
          <w:rFonts w:hint="default"/>
        </w:rPr>
      </w:pPr>
      <w:r>
        <w:rPr>
          <w:rFonts w:hint="default"/>
        </w:rPr>
        <w:drawing>
          <wp:inline distT="0" distB="0" distL="0" distR="0">
            <wp:extent cx="6141720" cy="3098165"/>
            <wp:effectExtent l="0" t="0" r="0" b="0"/>
            <wp:docPr id="1037" name="Picture 10"/>
            <a:graphic xmlns:a="http://schemas.openxmlformats.org/drawingml/2006/main">
              <a:graphicData uri="http://schemas.openxmlformats.org/drawingml/2006/picture">
                <pic:pic xmlns:pic="http://schemas.openxmlformats.org/drawingml/2006/picture">
                  <pic:nvPicPr>
                    <pic:cNvPr id="1037" name="Picture 10"/>
                    <pic:cNvPicPr>
                      <a:picLocks noChangeAspect="1" noChangeArrowheads="1"/>
                    </pic:cNvPicPr>
                  </pic:nvPicPr>
                  <pic:blipFill>
                    <a:blip r:embed="rId16"/>
                    <a:stretch>
                      <a:fillRect/>
                    </a:stretch>
                  </pic:blipFill>
                  <pic:spPr>
                    <a:xfrm>
                      <a:off x="0" y="0"/>
                      <a:ext cx="6141720" cy="3098165"/>
                    </a:xfrm>
                    <a:prstGeom prst="rect">
                      <a:avLst/>
                    </a:prstGeom>
                    <a:noFill/>
                    <a:ln>
                      <a:noFill/>
                    </a:ln>
                  </pic:spPr>
                </pic:pic>
              </a:graphicData>
            </a:graphic>
          </wp:inline>
        </w:drawing>
      </w:r>
    </w:p>
    <w:p>
      <w:pPr>
        <w:pStyle w:val="0"/>
        <w:jc w:val="center"/>
        <w:rPr>
          <w:rFonts w:hint="default"/>
        </w:rPr>
      </w:pPr>
      <w:r>
        <w:rPr>
          <w:rFonts w:hint="default"/>
        </w:rPr>
        <w:drawing>
          <wp:inline distT="0" distB="0" distL="0" distR="0">
            <wp:extent cx="6151245" cy="3122930"/>
            <wp:effectExtent l="0" t="0" r="0" b="0"/>
            <wp:docPr id="1038" name="Picture 1"/>
            <a:graphic xmlns:a="http://schemas.openxmlformats.org/drawingml/2006/main">
              <a:graphicData uri="http://schemas.openxmlformats.org/drawingml/2006/picture">
                <pic:pic xmlns:pic="http://schemas.openxmlformats.org/drawingml/2006/picture">
                  <pic:nvPicPr>
                    <pic:cNvPr id="1038" name="Picture 1"/>
                    <pic:cNvPicPr>
                      <a:picLocks noChangeAspect="1" noChangeArrowheads="1"/>
                    </pic:cNvPicPr>
                  </pic:nvPicPr>
                  <pic:blipFill>
                    <a:blip r:embed="rId17"/>
                    <a:stretch>
                      <a:fillRect/>
                    </a:stretch>
                  </pic:blipFill>
                  <pic:spPr>
                    <a:xfrm>
                      <a:off x="0" y="0"/>
                      <a:ext cx="6151245" cy="3122930"/>
                    </a:xfrm>
                    <a:prstGeom prst="rect">
                      <a:avLst/>
                    </a:prstGeom>
                    <a:noFill/>
                    <a:ln>
                      <a:noFill/>
                    </a:ln>
                  </pic:spPr>
                </pic:pic>
              </a:graphicData>
            </a:graphic>
          </wp:inline>
        </w:drawing>
      </w:r>
    </w:p>
    <w:p>
      <w:pPr>
        <w:pStyle w:val="0"/>
        <w:ind w:firstLine="200" w:firstLineChars="100"/>
        <w:jc w:val="both"/>
        <w:rPr>
          <w:rFonts w:hint="default"/>
          <w:sz w:val="20"/>
        </w:rPr>
      </w:pPr>
      <w:r>
        <w:rPr>
          <w:rFonts w:hint="eastAsia"/>
          <w:sz w:val="20"/>
        </w:rPr>
        <w:t>※全国：日本の将来推計人口（平成</w:t>
      </w:r>
      <w:r>
        <w:rPr>
          <w:rFonts w:hint="default"/>
          <w:sz w:val="20"/>
        </w:rPr>
        <w:t>29</w:t>
      </w:r>
      <w:r>
        <w:rPr>
          <w:rFonts w:hint="default"/>
          <w:sz w:val="20"/>
        </w:rPr>
        <w:t>年</w:t>
      </w:r>
      <w:r>
        <w:rPr>
          <w:rFonts w:hint="eastAsia"/>
          <w:sz w:val="20"/>
        </w:rPr>
        <w:t>(2017</w:t>
      </w:r>
      <w:r>
        <w:rPr>
          <w:rFonts w:hint="eastAsia"/>
          <w:sz w:val="20"/>
        </w:rPr>
        <w:t>年</w:t>
      </w:r>
      <w:r>
        <w:rPr>
          <w:rFonts w:hint="eastAsia"/>
          <w:sz w:val="20"/>
        </w:rPr>
        <w:t>)</w:t>
      </w:r>
      <w:r>
        <w:rPr>
          <w:rFonts w:hint="default"/>
          <w:sz w:val="20"/>
        </w:rPr>
        <w:t>推計）の出生中位（死亡中位）推計結果</w:t>
      </w:r>
      <w:r>
        <w:rPr>
          <w:rFonts w:hint="eastAsia"/>
          <w:sz w:val="20"/>
        </w:rPr>
        <w:t>（各年</w:t>
      </w:r>
      <w:r>
        <w:rPr>
          <w:rFonts w:hint="eastAsia"/>
          <w:sz w:val="20"/>
        </w:rPr>
        <w:t>10</w:t>
      </w:r>
      <w:r>
        <w:rPr>
          <w:rFonts w:hint="eastAsia"/>
          <w:sz w:val="20"/>
        </w:rPr>
        <w:t>月１</w:t>
      </w:r>
    </w:p>
    <w:p>
      <w:pPr>
        <w:pStyle w:val="0"/>
        <w:ind w:firstLine="400" w:firstLineChars="200"/>
        <w:jc w:val="both"/>
        <w:rPr>
          <w:rFonts w:hint="default"/>
          <w:sz w:val="20"/>
        </w:rPr>
      </w:pPr>
      <w:r>
        <w:rPr>
          <w:rFonts w:hint="eastAsia"/>
          <w:sz w:val="20"/>
        </w:rPr>
        <w:t>日）</w:t>
      </w:r>
      <w:r>
        <w:rPr>
          <w:rFonts w:hint="default"/>
          <w:sz w:val="20"/>
        </w:rPr>
        <w:t>を</w:t>
      </w:r>
      <w:r>
        <w:rPr>
          <w:rFonts w:hint="eastAsia"/>
          <w:sz w:val="20"/>
        </w:rPr>
        <w:t>もと</w:t>
      </w:r>
      <w:r>
        <w:rPr>
          <w:rFonts w:hint="default"/>
          <w:sz w:val="20"/>
        </w:rPr>
        <w:t>に算出</w:t>
      </w:r>
    </w:p>
    <w:p>
      <w:pPr>
        <w:pStyle w:val="0"/>
        <w:ind w:firstLine="200" w:firstLineChars="100"/>
        <w:jc w:val="both"/>
        <w:rPr>
          <w:rFonts w:hint="default"/>
          <w:sz w:val="20"/>
        </w:rPr>
      </w:pPr>
      <w:r>
        <w:rPr>
          <w:rFonts w:hint="eastAsia"/>
          <w:sz w:val="20"/>
        </w:rPr>
        <w:t>※</w:t>
      </w:r>
      <w:r>
        <w:rPr>
          <w:rFonts w:hint="eastAsia"/>
          <w:color w:val="000000" w:themeColor="text1"/>
          <w:sz w:val="20"/>
        </w:rPr>
        <w:t>箕面市：箕面市人口ビジョン人口推計Ⅱ</w:t>
      </w:r>
    </w:p>
    <w:p>
      <w:pPr>
        <w:pStyle w:val="0"/>
        <w:rPr>
          <w:rFonts w:hint="default"/>
        </w:rPr>
      </w:pPr>
    </w:p>
    <w:p>
      <w:pPr>
        <w:rPr>
          <w:rFonts w:hint="default" w:ascii="メイリオ" w:hAnsi="メイリオ" w:eastAsia="メイリオ"/>
          <w:sz w:val="28"/>
        </w:rPr>
        <w:sectPr>
          <w:pgSz w:w="11906" w:h="16838"/>
          <w:pgMar w:top="1440" w:right="1080" w:bottom="1440" w:left="1080" w:header="851" w:footer="454" w:gutter="0"/>
          <w:cols w:space="720"/>
          <w:textDirection w:val="lrTb"/>
          <w:docGrid w:type="lines" w:linePitch="360"/>
        </w:sectPr>
      </w:pPr>
    </w:p>
    <w:p>
      <w:pPr>
        <w:pStyle w:val="4"/>
        <w:ind w:left="0" w:leftChars="0"/>
        <w:rPr>
          <w:rFonts w:hint="default" w:ascii="メイリオ" w:hAnsi="メイリオ" w:eastAsia="メイリオ"/>
          <w:b w:val="0"/>
          <w:sz w:val="28"/>
        </w:rPr>
      </w:pPr>
      <w:bookmarkStart w:id="24" w:name="_Toc59007756"/>
      <w:r>
        <w:rPr>
          <w:rFonts w:hint="eastAsia" w:ascii="メイリオ" w:hAnsi="メイリオ" w:eastAsia="メイリオ"/>
          <w:b w:val="0"/>
          <w:sz w:val="28"/>
        </w:rPr>
        <w:t>（２）要支援・要介護認定者数の推移</w:t>
      </w:r>
      <w:bookmarkEnd w:id="24"/>
    </w:p>
    <w:p>
      <w:pPr>
        <w:pStyle w:val="0"/>
        <w:ind w:firstLine="240" w:firstLineChars="100"/>
        <w:jc w:val="both"/>
        <w:rPr>
          <w:rFonts w:hint="default"/>
        </w:rPr>
      </w:pPr>
      <w:r>
        <w:rPr>
          <w:rFonts w:hint="eastAsia"/>
        </w:rPr>
        <w:t>要支援・要介護認定者数は、</w:t>
      </w:r>
      <w:r>
        <w:rPr>
          <w:rFonts w:hint="eastAsia"/>
          <w:color w:val="000000" w:themeColor="text1"/>
        </w:rPr>
        <w:t>平成</w:t>
      </w:r>
      <w:r>
        <w:rPr>
          <w:rFonts w:hint="eastAsia"/>
          <w:color w:val="000000" w:themeColor="text1"/>
        </w:rPr>
        <w:t>27</w:t>
      </w:r>
      <w:r>
        <w:rPr>
          <w:rFonts w:hint="eastAsia"/>
          <w:color w:val="000000" w:themeColor="text1"/>
        </w:rPr>
        <w:t>年度</w:t>
      </w:r>
      <w:r>
        <w:rPr>
          <w:rFonts w:hint="eastAsia"/>
          <w:color w:val="000000" w:themeColor="text1"/>
        </w:rPr>
        <w:t>(</w:t>
      </w:r>
      <w:r>
        <w:rPr>
          <w:rFonts w:hint="eastAsia"/>
        </w:rPr>
        <w:t>2015</w:t>
      </w:r>
      <w:r>
        <w:rPr>
          <w:rFonts w:hint="eastAsia"/>
        </w:rPr>
        <w:t>年度</w:t>
      </w:r>
      <w:r>
        <w:rPr>
          <w:rFonts w:hint="eastAsia"/>
        </w:rPr>
        <w:t>)</w:t>
      </w:r>
      <w:r>
        <w:rPr>
          <w:rFonts w:hint="eastAsia"/>
          <w:color w:val="000000" w:themeColor="text1"/>
        </w:rPr>
        <w:t>から総合事業を開始し、要支援者が事業対象者に移行したため、平成</w:t>
      </w:r>
      <w:r>
        <w:rPr>
          <w:rFonts w:hint="eastAsia"/>
          <w:color w:val="000000" w:themeColor="text1"/>
        </w:rPr>
        <w:t>28</w:t>
      </w:r>
      <w:r>
        <w:rPr>
          <w:rFonts w:hint="eastAsia"/>
          <w:color w:val="000000" w:themeColor="text1"/>
        </w:rPr>
        <w:t>年度</w:t>
      </w:r>
      <w:r>
        <w:rPr>
          <w:rFonts w:hint="eastAsia"/>
          <w:color w:val="000000" w:themeColor="text1"/>
        </w:rPr>
        <w:t>(</w:t>
      </w:r>
      <w:r>
        <w:rPr>
          <w:rFonts w:hint="eastAsia"/>
        </w:rPr>
        <w:t>2016</w:t>
      </w:r>
      <w:r>
        <w:rPr>
          <w:rFonts w:hint="eastAsia"/>
        </w:rPr>
        <w:t>年度</w:t>
      </w:r>
      <w:r>
        <w:rPr>
          <w:rFonts w:hint="eastAsia"/>
        </w:rPr>
        <w:t>)</w:t>
      </w:r>
      <w:r>
        <w:rPr>
          <w:rFonts w:hint="eastAsia"/>
          <w:color w:val="000000" w:themeColor="text1"/>
        </w:rPr>
        <w:t>には減少に転</w:t>
      </w:r>
      <w:r>
        <w:rPr>
          <w:rFonts w:hint="eastAsia"/>
        </w:rPr>
        <w:t>じていますが、それ以降は増加傾向となっています。</w:t>
      </w:r>
    </w:p>
    <w:p>
      <w:pPr>
        <w:pStyle w:val="0"/>
        <w:rPr>
          <w:rFonts w:hint="default"/>
        </w:rPr>
      </w:pPr>
      <w:r>
        <w:rPr>
          <w:rFonts w:hint="default"/>
        </w:rPr>
        <w:drawing>
          <wp:anchor distT="0" distB="0" distL="114300" distR="114300" simplePos="0" relativeHeight="29" behindDoc="1" locked="0" layoutInCell="1" hidden="0" allowOverlap="1">
            <wp:simplePos x="0" y="0"/>
            <wp:positionH relativeFrom="column">
              <wp:posOffset>0</wp:posOffset>
            </wp:positionH>
            <wp:positionV relativeFrom="paragraph">
              <wp:posOffset>222250</wp:posOffset>
            </wp:positionV>
            <wp:extent cx="6192520" cy="2816225"/>
            <wp:effectExtent l="0" t="0" r="0" b="0"/>
            <wp:wrapNone/>
            <wp:docPr id="1039" name="Picture 12"/>
            <a:graphic xmlns:a="http://schemas.openxmlformats.org/drawingml/2006/main">
              <a:graphicData uri="http://schemas.openxmlformats.org/drawingml/2006/picture">
                <pic:pic xmlns:pic="http://schemas.openxmlformats.org/drawingml/2006/picture">
                  <pic:nvPicPr>
                    <pic:cNvPr id="1039" name="Picture 12"/>
                    <pic:cNvPicPr>
                      <a:picLocks noChangeAspect="1" noChangeArrowheads="1"/>
                    </pic:cNvPicPr>
                  </pic:nvPicPr>
                  <pic:blipFill>
                    <a:blip r:embed="rId18"/>
                    <a:stretch>
                      <a:fillRect/>
                    </a:stretch>
                  </pic:blipFill>
                  <pic:spPr>
                    <a:xfrm>
                      <a:off x="0" y="0"/>
                      <a:ext cx="6192520" cy="2816225"/>
                    </a:xfrm>
                    <a:prstGeom prst="rect">
                      <a:avLst/>
                    </a:prstGeom>
                    <a:noFill/>
                    <a:ln>
                      <a:noFill/>
                    </a:ln>
                  </pic:spPr>
                </pic:pic>
              </a:graphicData>
            </a:graphic>
          </wp:anchor>
        </w:drawing>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図表５：箕面市要支援・要介護認定者数の推移（第２号被保険者含む）</w:t>
      </w:r>
    </w:p>
    <w:p>
      <w:pPr>
        <w:pStyle w:val="0"/>
        <w:rPr>
          <w:rFonts w:hint="default"/>
        </w:rPr>
      </w:pP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right="106" w:rightChars="44" w:firstLine="200" w:firstLineChars="100"/>
        <w:rPr>
          <w:rFonts w:hint="default"/>
        </w:rPr>
      </w:pPr>
      <w:r>
        <w:rPr>
          <w:rFonts w:hint="eastAsia"/>
          <w:sz w:val="20"/>
        </w:rPr>
        <w:t>※各年度３</w:t>
      </w:r>
      <w:r>
        <w:rPr>
          <w:rFonts w:hint="default"/>
          <w:sz w:val="20"/>
        </w:rPr>
        <w:t>月末</w:t>
      </w:r>
    </w:p>
    <w:p>
      <w:pPr>
        <w:pStyle w:val="0"/>
        <w:rPr>
          <w:rFonts w:hint="default"/>
        </w:rPr>
      </w:pPr>
    </w:p>
    <w:p>
      <w:pPr>
        <w:pStyle w:val="0"/>
        <w:ind w:firstLine="240" w:firstLineChars="100"/>
        <w:jc w:val="both"/>
        <w:rPr>
          <w:rFonts w:hint="default"/>
          <w:color w:val="000000" w:themeColor="text1"/>
        </w:rPr>
      </w:pPr>
      <w:r>
        <w:rPr>
          <w:rFonts w:hint="eastAsia"/>
          <w:color w:val="000000" w:themeColor="text1"/>
        </w:rPr>
        <w:t>要支援・要介護認定者の内訳について、令和２年</w:t>
      </w:r>
      <w:r>
        <w:rPr>
          <w:rFonts w:hint="eastAsia"/>
          <w:color w:val="000000" w:themeColor="text1"/>
        </w:rPr>
        <w:t>(2020</w:t>
      </w:r>
      <w:r>
        <w:rPr>
          <w:rFonts w:hint="eastAsia"/>
          <w:color w:val="000000" w:themeColor="text1"/>
        </w:rPr>
        <w:t>年</w:t>
      </w:r>
      <w:r>
        <w:rPr>
          <w:rFonts w:hint="eastAsia"/>
          <w:color w:val="000000" w:themeColor="text1"/>
        </w:rPr>
        <w:t>)</w:t>
      </w:r>
      <w:r>
        <w:rPr>
          <w:rFonts w:hint="eastAsia"/>
          <w:color w:val="000000" w:themeColor="text1"/>
        </w:rPr>
        <w:t>３月末時点で、軽度認定者（要支援１・２及び要介護１）が</w:t>
      </w:r>
      <w:r>
        <w:rPr>
          <w:rFonts w:hint="eastAsia"/>
          <w:color w:val="000000" w:themeColor="text1"/>
        </w:rPr>
        <w:t>47.3</w:t>
      </w:r>
      <w:r>
        <w:rPr>
          <w:rFonts w:hint="eastAsia"/>
          <w:color w:val="000000" w:themeColor="text1"/>
        </w:rPr>
        <w:t>％、中度認定者（要介護２・３）が</w:t>
      </w:r>
      <w:r>
        <w:rPr>
          <w:rFonts w:hint="eastAsia"/>
          <w:color w:val="000000" w:themeColor="text1"/>
        </w:rPr>
        <w:t>31.0</w:t>
      </w:r>
      <w:r>
        <w:rPr>
          <w:rFonts w:hint="eastAsia"/>
          <w:color w:val="000000" w:themeColor="text1"/>
        </w:rPr>
        <w:t>％、重度認定者（要介護４・５）が</w:t>
      </w:r>
      <w:r>
        <w:rPr>
          <w:rFonts w:hint="eastAsia"/>
          <w:color w:val="000000" w:themeColor="text1"/>
        </w:rPr>
        <w:t>21.7</w:t>
      </w:r>
      <w:r>
        <w:rPr>
          <w:rFonts w:hint="eastAsia"/>
          <w:color w:val="000000" w:themeColor="text1"/>
        </w:rPr>
        <w:t>％となっています。</w:t>
      </w:r>
    </w:p>
    <w:p>
      <w:pPr>
        <w:pStyle w:val="0"/>
        <w:ind w:firstLine="240" w:firstLineChars="100"/>
        <w:jc w:val="both"/>
        <w:rPr>
          <w:rFonts w:hint="default"/>
          <w:color w:val="000000" w:themeColor="text1"/>
        </w:rPr>
      </w:pPr>
      <w:r>
        <w:rPr>
          <w:rFonts w:hint="eastAsia"/>
          <w:color w:val="000000" w:themeColor="text1"/>
        </w:rPr>
        <w:t>また、要支援・要介護認定者について、令和２年</w:t>
      </w:r>
      <w:r>
        <w:rPr>
          <w:rFonts w:hint="eastAsia"/>
          <w:color w:val="000000" w:themeColor="text1"/>
        </w:rPr>
        <w:t>(2020</w:t>
      </w:r>
      <w:r>
        <w:rPr>
          <w:rFonts w:hint="eastAsia"/>
          <w:color w:val="000000" w:themeColor="text1"/>
        </w:rPr>
        <w:t>年</w:t>
      </w:r>
      <w:r>
        <w:rPr>
          <w:rFonts w:hint="eastAsia"/>
          <w:color w:val="000000" w:themeColor="text1"/>
        </w:rPr>
        <w:t>)</w:t>
      </w:r>
      <w:r>
        <w:rPr>
          <w:rFonts w:hint="eastAsia"/>
          <w:color w:val="000000" w:themeColor="text1"/>
        </w:rPr>
        <w:t>３月末現在の要介護度別の構</w:t>
      </w:r>
    </w:p>
    <w:p>
      <w:pPr>
        <w:pStyle w:val="0"/>
        <w:ind w:right="-170" w:rightChars="-71"/>
        <w:jc w:val="both"/>
        <w:rPr>
          <w:rFonts w:hint="default"/>
          <w:color w:val="000000" w:themeColor="text1"/>
        </w:rPr>
      </w:pPr>
      <w:r>
        <w:rPr>
          <w:rFonts w:hint="eastAsia"/>
          <w:color w:val="000000" w:themeColor="text1"/>
        </w:rPr>
        <w:t>成比をみると、本市は、国及び大阪府に比べて、軽度認定者の構成比が低くなっています。</w:t>
      </w:r>
    </w:p>
    <w:p>
      <w:pPr>
        <w:pStyle w:val="0"/>
        <w:ind w:right="-170" w:rightChars="-71"/>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30" behindDoc="1" locked="0" layoutInCell="1" hidden="0" allowOverlap="1">
            <wp:simplePos x="0" y="0"/>
            <wp:positionH relativeFrom="column">
              <wp:posOffset>-2540</wp:posOffset>
            </wp:positionH>
            <wp:positionV relativeFrom="paragraph">
              <wp:posOffset>231775</wp:posOffset>
            </wp:positionV>
            <wp:extent cx="6184900" cy="2553335"/>
            <wp:effectExtent l="0" t="0" r="0" b="0"/>
            <wp:wrapNone/>
            <wp:docPr id="1040" name="Picture 13"/>
            <a:graphic xmlns:a="http://schemas.openxmlformats.org/drawingml/2006/main">
              <a:graphicData uri="http://schemas.openxmlformats.org/drawingml/2006/picture">
                <pic:pic xmlns:pic="http://schemas.openxmlformats.org/drawingml/2006/picture">
                  <pic:nvPicPr>
                    <pic:cNvPr id="1040" name="Picture 13"/>
                    <pic:cNvPicPr>
                      <a:picLocks noChangeAspect="1" noChangeArrowheads="1"/>
                    </pic:cNvPicPr>
                  </pic:nvPicPr>
                  <pic:blipFill>
                    <a:blip r:embed="rId19"/>
                    <a:stretch>
                      <a:fillRect/>
                    </a:stretch>
                  </pic:blipFill>
                  <pic:spPr>
                    <a:xfrm>
                      <a:off x="0" y="0"/>
                      <a:ext cx="6184900" cy="2553335"/>
                    </a:xfrm>
                    <a:prstGeom prst="rect">
                      <a:avLst/>
                    </a:prstGeom>
                    <a:noFill/>
                    <a:ln>
                      <a:noFill/>
                    </a:ln>
                  </pic:spPr>
                </pic:pic>
              </a:graphicData>
            </a:graphic>
          </wp:anchor>
        </w:drawing>
      </w:r>
      <w:r>
        <w:rPr>
          <w:rFonts w:hint="eastAsia" w:ascii="ＭＳ ゴシック" w:hAnsi="ＭＳ ゴシック" w:eastAsia="ＭＳ ゴシック"/>
          <w:sz w:val="21"/>
        </w:rPr>
        <w:t>図表６：箕面市要支援・要介護認定者数の内訳の推移</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right="106" w:rightChars="44" w:firstLine="200" w:firstLineChars="100"/>
        <w:rPr>
          <w:rFonts w:hint="default"/>
        </w:rPr>
        <w:sectPr>
          <w:pgSz w:w="11906" w:h="16838"/>
          <w:pgMar w:top="1440" w:right="1077" w:bottom="907" w:left="1077" w:header="851" w:footer="454" w:gutter="0"/>
          <w:cols w:space="720"/>
          <w:textDirection w:val="lrTb"/>
          <w:docGrid w:type="lines" w:linePitch="360"/>
        </w:sectPr>
      </w:pPr>
      <w:r>
        <w:rPr>
          <w:rFonts w:hint="eastAsia"/>
          <w:sz w:val="20"/>
        </w:rPr>
        <w:t>※各年度３</w:t>
      </w:r>
      <w:r>
        <w:rPr>
          <w:rFonts w:hint="default"/>
          <w:sz w:val="20"/>
        </w:rPr>
        <w:t>月末</w:t>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図表７：要支援・要介護認定者数の内訳（令和元年度</w:t>
      </w:r>
      <w:r>
        <w:rPr>
          <w:rFonts w:hint="eastAsia" w:ascii="ＭＳ ゴシック" w:hAnsi="ＭＳ ゴシック" w:eastAsia="ＭＳ ゴシック"/>
          <w:sz w:val="21"/>
        </w:rPr>
        <w:t>(</w:t>
      </w:r>
      <w:r>
        <w:rPr>
          <w:rFonts w:hint="default" w:ascii="ＭＳ ゴシック" w:hAnsi="ＭＳ ゴシック" w:eastAsia="ＭＳ ゴシック"/>
          <w:sz w:val="21"/>
        </w:rPr>
        <w:t>201</w:t>
      </w:r>
      <w:r>
        <w:rPr>
          <w:rFonts w:hint="eastAsia" w:ascii="ＭＳ ゴシック" w:hAnsi="ＭＳ ゴシック" w:eastAsia="ＭＳ ゴシック"/>
          <w:sz w:val="21"/>
        </w:rPr>
        <w:t>9</w:t>
      </w:r>
      <w:r>
        <w:rPr>
          <w:rFonts w:hint="eastAsia" w:ascii="ＭＳ ゴシック" w:hAnsi="ＭＳ ゴシック" w:eastAsia="ＭＳ ゴシック"/>
          <w:sz w:val="21"/>
        </w:rPr>
        <w:t>年度</w:t>
      </w:r>
      <w:r>
        <w:rPr>
          <w:rFonts w:hint="default" w:ascii="ＭＳ ゴシック" w:hAnsi="ＭＳ ゴシック" w:eastAsia="ＭＳ ゴシック"/>
          <w:sz w:val="21"/>
        </w:rPr>
        <w:t>)</w:t>
      </w:r>
      <w:r>
        <w:rPr>
          <w:rFonts w:hint="eastAsia" w:ascii="ＭＳ ゴシック" w:hAnsi="ＭＳ ゴシック" w:eastAsia="ＭＳ ゴシック"/>
          <w:sz w:val="21"/>
        </w:rPr>
        <w:t>３月末</w:t>
      </w:r>
      <w:r>
        <w:rPr>
          <w:rFonts w:hint="default" w:ascii="ＭＳ ゴシック" w:hAnsi="ＭＳ ゴシック" w:eastAsia="ＭＳ ゴシック"/>
          <w:sz w:val="21"/>
        </w:rPr>
        <w:t>）</w:t>
      </w:r>
    </w:p>
    <w:p>
      <w:pPr>
        <w:pStyle w:val="0"/>
        <w:jc w:val="center"/>
        <w:rPr>
          <w:rFonts w:hint="default" w:ascii="ＭＳ ゴシック" w:hAnsi="ＭＳ ゴシック" w:eastAsia="ＭＳ ゴシック"/>
          <w:sz w:val="21"/>
        </w:rPr>
      </w:pPr>
      <w:r>
        <w:rPr>
          <w:rFonts w:hint="default" w:ascii="ＭＳ ゴシック" w:hAnsi="ＭＳ ゴシック" w:eastAsia="ＭＳ ゴシック"/>
          <w:sz w:val="21"/>
        </w:rPr>
        <w:drawing>
          <wp:anchor distT="0" distB="0" distL="114300" distR="114300" simplePos="0" relativeHeight="31" behindDoc="1" locked="0" layoutInCell="1" hidden="0" allowOverlap="1">
            <wp:simplePos x="0" y="0"/>
            <wp:positionH relativeFrom="column">
              <wp:posOffset>5080</wp:posOffset>
            </wp:positionH>
            <wp:positionV relativeFrom="paragraph">
              <wp:posOffset>68580</wp:posOffset>
            </wp:positionV>
            <wp:extent cx="6188710" cy="2158365"/>
            <wp:effectExtent l="0" t="0" r="0" b="0"/>
            <wp:wrapNone/>
            <wp:docPr id="1041" name="Picture 14"/>
            <a:graphic xmlns:a="http://schemas.openxmlformats.org/drawingml/2006/main">
              <a:graphicData uri="http://schemas.openxmlformats.org/drawingml/2006/picture">
                <pic:pic xmlns:pic="http://schemas.openxmlformats.org/drawingml/2006/picture">
                  <pic:nvPicPr>
                    <pic:cNvPr id="1041" name="Picture 14"/>
                    <pic:cNvPicPr>
                      <a:picLocks noChangeAspect="1" noChangeArrowheads="1"/>
                    </pic:cNvPicPr>
                  </pic:nvPicPr>
                  <pic:blipFill>
                    <a:blip r:embed="rId20"/>
                    <a:stretch>
                      <a:fillRect/>
                    </a:stretch>
                  </pic:blipFill>
                  <pic:spPr>
                    <a:xfrm>
                      <a:off x="0" y="0"/>
                      <a:ext cx="6188710" cy="215836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本市では、平成</w:t>
      </w:r>
      <w:r>
        <w:rPr>
          <w:rFonts w:hint="eastAsia"/>
        </w:rPr>
        <w:t>27</w:t>
      </w:r>
      <w:r>
        <w:rPr>
          <w:rFonts w:hint="eastAsia"/>
        </w:rPr>
        <w:t>年度</w:t>
      </w:r>
      <w:r>
        <w:rPr>
          <w:rFonts w:hint="eastAsia"/>
          <w:color w:val="000000" w:themeColor="text1"/>
        </w:rPr>
        <w:t>(</w:t>
      </w:r>
      <w:r>
        <w:rPr>
          <w:rFonts w:hint="eastAsia"/>
        </w:rPr>
        <w:t>2015</w:t>
      </w:r>
      <w:r>
        <w:rPr>
          <w:rFonts w:hint="eastAsia"/>
        </w:rPr>
        <w:t>年度</w:t>
      </w:r>
      <w:r>
        <w:rPr>
          <w:rFonts w:hint="eastAsia"/>
        </w:rPr>
        <w:t>)</w:t>
      </w:r>
      <w:r>
        <w:rPr>
          <w:rFonts w:hint="eastAsia"/>
        </w:rPr>
        <w:t>まで要支援者の認定率は国よりもやや高く、要介護者の認定率は大阪府や国よりも低い状況でしたが、全体としては大阪府や国よりも低い認定率となっていました。</w:t>
      </w:r>
      <w:r>
        <w:rPr>
          <w:rFonts w:hint="eastAsia"/>
          <w:color w:val="000000" w:themeColor="text1"/>
        </w:rPr>
        <w:t>平成</w:t>
      </w:r>
      <w:r>
        <w:rPr>
          <w:rFonts w:hint="eastAsia"/>
          <w:color w:val="000000" w:themeColor="text1"/>
        </w:rPr>
        <w:t>27</w:t>
      </w:r>
      <w:r>
        <w:rPr>
          <w:rFonts w:hint="eastAsia"/>
          <w:color w:val="000000" w:themeColor="text1"/>
        </w:rPr>
        <w:t>年度</w:t>
      </w:r>
      <w:r>
        <w:rPr>
          <w:rFonts w:hint="eastAsia"/>
          <w:color w:val="000000" w:themeColor="text1"/>
        </w:rPr>
        <w:t>(</w:t>
      </w:r>
      <w:r>
        <w:rPr>
          <w:rFonts w:hint="eastAsia"/>
        </w:rPr>
        <w:t>2015</w:t>
      </w:r>
      <w:r>
        <w:rPr>
          <w:rFonts w:hint="eastAsia"/>
        </w:rPr>
        <w:t>年度</w:t>
      </w:r>
      <w:r>
        <w:rPr>
          <w:rFonts w:hint="eastAsia"/>
        </w:rPr>
        <w:t>)</w:t>
      </w:r>
      <w:r>
        <w:rPr>
          <w:rFonts w:hint="eastAsia"/>
        </w:rPr>
        <w:t>の</w:t>
      </w:r>
      <w:r>
        <w:rPr>
          <w:rFonts w:hint="eastAsia"/>
          <w:color w:val="000000" w:themeColor="text1"/>
        </w:rPr>
        <w:t>総合事業開始以降は、要支援者及び要介護者の認定率がともに大阪府や国よりも低くなりました。</w:t>
      </w:r>
    </w:p>
    <w:p>
      <w:pPr>
        <w:pStyle w:val="0"/>
        <w:rPr>
          <w:rFonts w:hint="default"/>
        </w:rPr>
      </w:pPr>
    </w:p>
    <w:p>
      <w:pPr>
        <w:pStyle w:val="0"/>
        <w:jc w:val="center"/>
        <w:rPr>
          <w:rFonts w:hint="default"/>
        </w:rPr>
      </w:pPr>
      <w:r>
        <w:rPr>
          <w:rFonts w:hint="default"/>
        </w:rPr>
        <w:drawing>
          <wp:anchor distT="0" distB="0" distL="114300" distR="114300" simplePos="0" relativeHeight="249" behindDoc="1" locked="0" layoutInCell="1" hidden="0" allowOverlap="1">
            <wp:simplePos x="0" y="0"/>
            <wp:positionH relativeFrom="column">
              <wp:posOffset>94615</wp:posOffset>
            </wp:positionH>
            <wp:positionV relativeFrom="paragraph">
              <wp:posOffset>197485</wp:posOffset>
            </wp:positionV>
            <wp:extent cx="5980430" cy="2752725"/>
            <wp:effectExtent l="0" t="0" r="0" b="0"/>
            <wp:wrapNone/>
            <wp:docPr id="1042" name="Picture 3"/>
            <a:graphic xmlns:a="http://schemas.openxmlformats.org/drawingml/2006/main">
              <a:graphicData uri="http://schemas.openxmlformats.org/drawingml/2006/picture">
                <pic:pic xmlns:pic="http://schemas.openxmlformats.org/drawingml/2006/picture">
                  <pic:nvPicPr>
                    <pic:cNvPr id="1042" name="Picture 3"/>
                    <pic:cNvPicPr>
                      <a:picLocks noChangeAspect="1" noChangeArrowheads="1"/>
                    </pic:cNvPicPr>
                  </pic:nvPicPr>
                  <pic:blipFill>
                    <a:blip r:embed="rId21"/>
                    <a:stretch>
                      <a:fillRect/>
                    </a:stretch>
                  </pic:blipFill>
                  <pic:spPr>
                    <a:xfrm>
                      <a:off x="0" y="0"/>
                      <a:ext cx="5980430" cy="2752725"/>
                    </a:xfrm>
                    <a:prstGeom prst="rect">
                      <a:avLst/>
                    </a:prstGeom>
                    <a:noFill/>
                    <a:ln>
                      <a:noFill/>
                    </a:ln>
                  </pic:spPr>
                </pic:pic>
              </a:graphicData>
            </a:graphic>
          </wp:anchor>
        </w:drawing>
      </w:r>
      <w:r>
        <w:rPr>
          <w:rFonts w:hint="eastAsia" w:ascii="ＭＳ ゴシック" w:hAnsi="ＭＳ ゴシック" w:eastAsia="ＭＳ ゴシック"/>
          <w:sz w:val="21"/>
        </w:rPr>
        <w:t>図表８：要支援・要介護認定者数認定率（第１</w:t>
      </w:r>
      <w:r>
        <w:rPr>
          <w:rFonts w:hint="default" w:ascii="ＭＳ ゴシック" w:hAnsi="ＭＳ ゴシック" w:eastAsia="ＭＳ ゴシック"/>
          <w:sz w:val="21"/>
        </w:rPr>
        <w:t>号被保険者）の推移</w:t>
      </w:r>
    </w:p>
    <w:p>
      <w:pPr>
        <w:pStyle w:val="0"/>
        <w:rPr>
          <w:rFonts w:hint="default"/>
        </w:rPr>
      </w:pP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00" w:firstLineChars="100"/>
        <w:jc w:val="both"/>
        <w:rPr>
          <w:rFonts w:hint="default"/>
          <w:sz w:val="20"/>
        </w:rPr>
      </w:pPr>
      <w:r>
        <w:rPr>
          <w:rFonts w:hint="eastAsia"/>
          <w:sz w:val="20"/>
        </w:rPr>
        <w:t>※各年度３月末</w:t>
      </w:r>
    </w:p>
    <w:p>
      <w:pPr>
        <w:pStyle w:val="0"/>
        <w:ind w:firstLine="200" w:firstLineChars="100"/>
        <w:jc w:val="both"/>
        <w:rPr>
          <w:rFonts w:hint="default"/>
          <w:sz w:val="20"/>
        </w:rPr>
      </w:pPr>
      <w:r>
        <w:rPr>
          <w:rFonts w:hint="eastAsia"/>
          <w:sz w:val="20"/>
        </w:rPr>
        <w:t>※要支援認定者認定率＝要支援認定者数（第１号）／第１号被保険者数</w:t>
      </w:r>
    </w:p>
    <w:p>
      <w:pPr>
        <w:pStyle w:val="0"/>
        <w:ind w:firstLine="400" w:firstLineChars="200"/>
        <w:jc w:val="both"/>
        <w:rPr>
          <w:rFonts w:hint="default"/>
          <w:sz w:val="20"/>
        </w:rPr>
      </w:pPr>
      <w:r>
        <w:rPr>
          <w:rFonts w:hint="eastAsia"/>
          <w:sz w:val="20"/>
        </w:rPr>
        <w:t>要介護認定者認定率＝要介護認定者数（第１号）／第１号被保険者数</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sz w:val="21"/>
        </w:rPr>
      </w:pPr>
      <w:r>
        <w:rPr>
          <w:rFonts w:hint="eastAsia"/>
        </w:rPr>
        <w:drawing>
          <wp:anchor distT="0" distB="0" distL="114300" distR="114300" simplePos="0" relativeHeight="262" behindDoc="1" locked="0" layoutInCell="1" hidden="0" allowOverlap="1">
            <wp:simplePos x="0" y="0"/>
            <wp:positionH relativeFrom="column">
              <wp:posOffset>194945</wp:posOffset>
            </wp:positionH>
            <wp:positionV relativeFrom="paragraph">
              <wp:posOffset>76200</wp:posOffset>
            </wp:positionV>
            <wp:extent cx="6172200" cy="2686050"/>
            <wp:effectExtent l="0" t="0" r="0" b="0"/>
            <wp:wrapNone/>
            <wp:docPr id="1043" name="Picture 1"/>
            <a:graphic xmlns:a="http://schemas.openxmlformats.org/drawingml/2006/main">
              <a:graphicData uri="http://schemas.openxmlformats.org/drawingml/2006/picture">
                <pic:pic xmlns:pic="http://schemas.openxmlformats.org/drawingml/2006/picture">
                  <pic:nvPicPr>
                    <pic:cNvPr id="1043" name="Picture 1"/>
                    <pic:cNvPicPr>
                      <a:picLocks noChangeAspect="1" noChangeArrowheads="1"/>
                    </pic:cNvPicPr>
                  </pic:nvPicPr>
                  <pic:blipFill>
                    <a:blip r:embed="rId22"/>
                    <a:stretch>
                      <a:fillRect/>
                    </a:stretch>
                  </pic:blipFill>
                  <pic:spPr>
                    <a:xfrm>
                      <a:off x="0" y="0"/>
                      <a:ext cx="6172200" cy="2686050"/>
                    </a:xfrm>
                    <a:prstGeom prst="rect">
                      <a:avLst/>
                    </a:prstGeom>
                    <a:noFill/>
                    <a:ln>
                      <a:noFill/>
                    </a:ln>
                  </pic:spPr>
                </pic:pic>
              </a:graphicData>
            </a:graphic>
          </wp:anchor>
        </w:drawing>
      </w:r>
      <w:r>
        <w:rPr>
          <w:rFonts w:hint="eastAsia" w:ascii="ＭＳ ゴシック" w:hAnsi="ＭＳ ゴシック" w:eastAsia="ＭＳ ゴシック"/>
          <w:sz w:val="21"/>
        </w:rPr>
        <w:t>図表９：箕面市要支援・要介護認定者認定率（第１号被保険者）の推移</w:t>
      </w:r>
    </w:p>
    <w:p>
      <w:pPr>
        <w:pStyle w:val="0"/>
        <w:rPr>
          <w:rFonts w:hint="default"/>
        </w:rPr>
      </w:pPr>
    </w:p>
    <w:p>
      <w:pPr>
        <w:pStyle w:val="0"/>
        <w:rPr>
          <w:rFonts w:hint="default"/>
        </w:rPr>
      </w:pP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sz w:val="20"/>
        </w:rPr>
      </w:pPr>
      <w:r>
        <w:rPr>
          <w:rFonts w:hint="eastAsia"/>
          <w:sz w:val="20"/>
        </w:rPr>
        <w:t>※各年度３月末</w:t>
      </w:r>
    </w:p>
    <w:p>
      <w:pPr>
        <w:pStyle w:val="0"/>
        <w:rPr>
          <w:rFonts w:hint="default"/>
        </w:rPr>
      </w:pPr>
    </w:p>
    <w:p>
      <w:pPr>
        <w:pStyle w:val="0"/>
        <w:ind w:firstLine="240" w:firstLineChars="100"/>
        <w:jc w:val="both"/>
        <w:rPr>
          <w:rFonts w:hint="default"/>
          <w:color w:val="000000" w:themeColor="text1"/>
        </w:rPr>
      </w:pPr>
      <w:r>
        <w:rPr>
          <w:rFonts w:hint="eastAsia"/>
          <w:color w:val="000000" w:themeColor="text1"/>
        </w:rPr>
        <w:t>本市の要支援・要介護認定率を年齢別にみる</w:t>
      </w:r>
      <w:r>
        <w:rPr>
          <w:rFonts w:hint="eastAsia"/>
          <w:color w:val="000000" w:themeColor="text1"/>
          <w:highlight w:val="none"/>
        </w:rPr>
        <w:t>と、年齢とともに急上昇し、</w:t>
      </w:r>
      <w:r>
        <w:rPr>
          <w:rFonts w:hint="eastAsia"/>
          <w:color w:val="000000" w:themeColor="text1"/>
          <w:highlight w:val="none"/>
        </w:rPr>
        <w:t>65</w:t>
      </w:r>
      <w:r>
        <w:rPr>
          <w:rFonts w:hint="eastAsia"/>
          <w:color w:val="000000" w:themeColor="text1"/>
          <w:highlight w:val="none"/>
        </w:rPr>
        <w:t>～</w:t>
      </w:r>
      <w:r>
        <w:rPr>
          <w:rFonts w:hint="eastAsia"/>
          <w:color w:val="000000" w:themeColor="text1"/>
          <w:highlight w:val="none"/>
        </w:rPr>
        <w:t>69</w:t>
      </w:r>
      <w:r>
        <w:rPr>
          <w:rFonts w:hint="eastAsia"/>
          <w:color w:val="000000" w:themeColor="text1"/>
          <w:highlight w:val="none"/>
        </w:rPr>
        <w:t>歳：</w:t>
      </w:r>
      <w:r>
        <w:rPr>
          <w:rFonts w:hint="eastAsia"/>
          <w:color w:val="000000" w:themeColor="text1"/>
          <w:highlight w:val="none"/>
        </w:rPr>
        <w:t>2.1</w:t>
      </w:r>
      <w:r>
        <w:rPr>
          <w:rFonts w:hint="eastAsia"/>
          <w:color w:val="000000" w:themeColor="text1"/>
          <w:highlight w:val="none"/>
        </w:rPr>
        <w:t>％、</w:t>
      </w:r>
      <w:r>
        <w:rPr>
          <w:rFonts w:hint="eastAsia"/>
          <w:color w:val="000000" w:themeColor="text1"/>
          <w:highlight w:val="none"/>
        </w:rPr>
        <w:t>70</w:t>
      </w:r>
      <w:r>
        <w:rPr>
          <w:rFonts w:hint="eastAsia"/>
          <w:color w:val="000000" w:themeColor="text1"/>
          <w:highlight w:val="none"/>
        </w:rPr>
        <w:t>～</w:t>
      </w:r>
      <w:r>
        <w:rPr>
          <w:rFonts w:hint="eastAsia"/>
          <w:color w:val="000000" w:themeColor="text1"/>
          <w:highlight w:val="none"/>
        </w:rPr>
        <w:t>74</w:t>
      </w:r>
      <w:r>
        <w:rPr>
          <w:rFonts w:hint="eastAsia"/>
          <w:color w:val="000000" w:themeColor="text1"/>
          <w:highlight w:val="none"/>
        </w:rPr>
        <w:t>歳：</w:t>
      </w:r>
      <w:r>
        <w:rPr>
          <w:rFonts w:hint="eastAsia"/>
          <w:color w:val="000000" w:themeColor="text1"/>
          <w:highlight w:val="none"/>
        </w:rPr>
        <w:t>4.2</w:t>
      </w:r>
      <w:r>
        <w:rPr>
          <w:rFonts w:hint="eastAsia"/>
          <w:color w:val="000000" w:themeColor="text1"/>
          <w:highlight w:val="none"/>
        </w:rPr>
        <w:t>％、</w:t>
      </w:r>
      <w:r>
        <w:rPr>
          <w:rFonts w:hint="eastAsia"/>
          <w:color w:val="000000" w:themeColor="text1"/>
          <w:highlight w:val="none"/>
        </w:rPr>
        <w:t>75</w:t>
      </w:r>
      <w:r>
        <w:rPr>
          <w:rFonts w:hint="eastAsia"/>
          <w:color w:val="000000" w:themeColor="text1"/>
          <w:highlight w:val="none"/>
        </w:rPr>
        <w:t>～</w:t>
      </w:r>
      <w:r>
        <w:rPr>
          <w:rFonts w:hint="eastAsia"/>
          <w:color w:val="000000" w:themeColor="text1"/>
          <w:highlight w:val="none"/>
        </w:rPr>
        <w:t>79</w:t>
      </w:r>
      <w:r>
        <w:rPr>
          <w:rFonts w:hint="eastAsia"/>
          <w:color w:val="000000" w:themeColor="text1"/>
          <w:highlight w:val="none"/>
        </w:rPr>
        <w:t>歳：</w:t>
      </w:r>
      <w:r>
        <w:rPr>
          <w:rFonts w:hint="eastAsia"/>
          <w:color w:val="000000" w:themeColor="text1"/>
          <w:highlight w:val="none"/>
        </w:rPr>
        <w:t>10.0</w:t>
      </w:r>
      <w:r>
        <w:rPr>
          <w:rFonts w:hint="eastAsia"/>
          <w:color w:val="000000" w:themeColor="text1"/>
          <w:highlight w:val="none"/>
        </w:rPr>
        <w:t>％、</w:t>
      </w:r>
      <w:r>
        <w:rPr>
          <w:rFonts w:hint="eastAsia"/>
          <w:color w:val="000000" w:themeColor="text1"/>
          <w:highlight w:val="none"/>
        </w:rPr>
        <w:t>80</w:t>
      </w:r>
      <w:r>
        <w:rPr>
          <w:rFonts w:hint="eastAsia"/>
          <w:color w:val="000000" w:themeColor="text1"/>
          <w:highlight w:val="none"/>
        </w:rPr>
        <w:t>～</w:t>
      </w:r>
      <w:r>
        <w:rPr>
          <w:rFonts w:hint="eastAsia"/>
          <w:color w:val="000000" w:themeColor="text1"/>
          <w:highlight w:val="none"/>
        </w:rPr>
        <w:t>84</w:t>
      </w:r>
      <w:r>
        <w:rPr>
          <w:rFonts w:hint="eastAsia"/>
          <w:color w:val="000000" w:themeColor="text1"/>
          <w:highlight w:val="none"/>
        </w:rPr>
        <w:t>歳：</w:t>
      </w:r>
      <w:r>
        <w:rPr>
          <w:rFonts w:hint="eastAsia"/>
          <w:color w:val="000000" w:themeColor="text1"/>
          <w:highlight w:val="none"/>
        </w:rPr>
        <w:t>22.9</w:t>
      </w:r>
      <w:r>
        <w:rPr>
          <w:rFonts w:hint="eastAsia"/>
          <w:color w:val="000000" w:themeColor="text1"/>
          <w:highlight w:val="none"/>
        </w:rPr>
        <w:t>％、</w:t>
      </w:r>
      <w:r>
        <w:rPr>
          <w:rFonts w:hint="eastAsia"/>
          <w:color w:val="000000" w:themeColor="text1"/>
          <w:highlight w:val="none"/>
        </w:rPr>
        <w:t>85</w:t>
      </w:r>
      <w:r>
        <w:rPr>
          <w:rFonts w:hint="eastAsia"/>
          <w:color w:val="000000" w:themeColor="text1"/>
          <w:highlight w:val="none"/>
        </w:rPr>
        <w:t>～</w:t>
      </w:r>
      <w:r>
        <w:rPr>
          <w:rFonts w:hint="eastAsia"/>
          <w:color w:val="000000" w:themeColor="text1"/>
          <w:highlight w:val="none"/>
        </w:rPr>
        <w:t>89</w:t>
      </w:r>
      <w:r>
        <w:rPr>
          <w:rFonts w:hint="eastAsia"/>
          <w:color w:val="000000" w:themeColor="text1"/>
          <w:highlight w:val="none"/>
        </w:rPr>
        <w:t>歳：</w:t>
      </w:r>
      <w:r>
        <w:rPr>
          <w:rFonts w:hint="eastAsia"/>
          <w:color w:val="000000" w:themeColor="text1"/>
          <w:highlight w:val="none"/>
        </w:rPr>
        <w:t>44.9</w:t>
      </w:r>
      <w:r>
        <w:rPr>
          <w:rFonts w:hint="eastAsia"/>
          <w:color w:val="000000" w:themeColor="text1"/>
          <w:highlight w:val="none"/>
        </w:rPr>
        <w:t>％、</w:t>
      </w:r>
      <w:r>
        <w:rPr>
          <w:rFonts w:hint="eastAsia"/>
          <w:color w:val="000000" w:themeColor="text1"/>
          <w:highlight w:val="none"/>
        </w:rPr>
        <w:t>90</w:t>
      </w:r>
      <w:r>
        <w:rPr>
          <w:rFonts w:hint="eastAsia"/>
          <w:color w:val="000000" w:themeColor="text1"/>
          <w:highlight w:val="none"/>
        </w:rPr>
        <w:t>歳以上：</w:t>
      </w:r>
      <w:r>
        <w:rPr>
          <w:rFonts w:hint="eastAsia"/>
          <w:color w:val="000000" w:themeColor="text1"/>
          <w:highlight w:val="none"/>
        </w:rPr>
        <w:t>73.1</w:t>
      </w:r>
      <w:r>
        <w:rPr>
          <w:rFonts w:hint="eastAsia"/>
          <w:color w:val="000000" w:themeColor="text1"/>
          <w:highlight w:val="none"/>
        </w:rPr>
        <w:t>％となっていますが、国と比較すると、</w:t>
      </w:r>
      <w:r>
        <w:rPr>
          <w:rFonts w:hint="eastAsia"/>
          <w:color w:val="000000" w:themeColor="text1"/>
          <w:highlight w:val="none"/>
        </w:rPr>
        <w:t>90</w:t>
      </w:r>
      <w:r>
        <w:rPr>
          <w:rFonts w:hint="eastAsia"/>
          <w:color w:val="000000" w:themeColor="text1"/>
          <w:highlight w:val="none"/>
        </w:rPr>
        <w:t>歳未満におい</w:t>
      </w:r>
      <w:r>
        <w:rPr>
          <w:rFonts w:hint="eastAsia"/>
          <w:color w:val="000000" w:themeColor="text1"/>
        </w:rPr>
        <w:t>て、本市は国よりも認定率が低くなっています。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rPr>
        <w:drawing>
          <wp:anchor distT="0" distB="0" distL="114300" distR="114300" simplePos="0" relativeHeight="261" behindDoc="1" locked="0" layoutInCell="1" hidden="0" allowOverlap="1">
            <wp:simplePos x="0" y="0"/>
            <wp:positionH relativeFrom="column">
              <wp:posOffset>29845</wp:posOffset>
            </wp:positionH>
            <wp:positionV relativeFrom="paragraph">
              <wp:posOffset>133350</wp:posOffset>
            </wp:positionV>
            <wp:extent cx="6127750" cy="3313430"/>
            <wp:effectExtent l="0" t="0" r="0" b="0"/>
            <wp:wrapNone/>
            <wp:docPr id="1044" name="Picture 2"/>
            <a:graphic xmlns:a="http://schemas.openxmlformats.org/drawingml/2006/main">
              <a:graphicData uri="http://schemas.openxmlformats.org/drawingml/2006/picture">
                <pic:pic xmlns:pic="http://schemas.openxmlformats.org/drawingml/2006/picture">
                  <pic:nvPicPr>
                    <pic:cNvPr id="1044" name="Picture 2"/>
                    <pic:cNvPicPr>
                      <a:picLocks noChangeAspect="1" noChangeArrowheads="1"/>
                    </pic:cNvPicPr>
                  </pic:nvPicPr>
                  <pic:blipFill>
                    <a:blip r:embed="rId23"/>
                    <a:stretch>
                      <a:fillRect/>
                    </a:stretch>
                  </pic:blipFill>
                  <pic:spPr>
                    <a:xfrm>
                      <a:off x="0" y="0"/>
                      <a:ext cx="6127750" cy="331343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10</w:t>
      </w:r>
      <w:r>
        <w:rPr>
          <w:rFonts w:hint="eastAsia" w:ascii="ＭＳ ゴシック" w:hAnsi="ＭＳ ゴシック" w:eastAsia="ＭＳ ゴシック"/>
          <w:sz w:val="21"/>
        </w:rPr>
        <w:t>：年齢階層別の要支援・要介護認定率（令和２年</w:t>
      </w:r>
      <w:r>
        <w:rPr>
          <w:rFonts w:hint="eastAsia" w:ascii="ＭＳ ゴシック" w:hAnsi="ＭＳ ゴシック" w:eastAsia="ＭＳ ゴシック"/>
          <w:sz w:val="21"/>
        </w:rPr>
        <w:t>(</w:t>
      </w:r>
      <w:r>
        <w:rPr>
          <w:rFonts w:hint="default" w:ascii="ＭＳ ゴシック" w:hAnsi="ＭＳ ゴシック" w:eastAsia="ＭＳ ゴシック"/>
          <w:sz w:val="21"/>
        </w:rPr>
        <w:t>20</w:t>
      </w:r>
      <w:r>
        <w:rPr>
          <w:rFonts w:hint="eastAsia" w:ascii="ＭＳ ゴシック" w:hAnsi="ＭＳ ゴシック" w:eastAsia="ＭＳ ゴシック"/>
          <w:sz w:val="21"/>
        </w:rPr>
        <w:t>20</w:t>
      </w:r>
      <w:r>
        <w:rPr>
          <w:rFonts w:hint="eastAsia" w:ascii="ＭＳ ゴシック" w:hAnsi="ＭＳ ゴシック" w:eastAsia="ＭＳ ゴシック"/>
          <w:sz w:val="21"/>
        </w:rPr>
        <w:t>年</w:t>
      </w:r>
      <w:r>
        <w:rPr>
          <w:rFonts w:hint="default" w:ascii="ＭＳ ゴシック" w:hAnsi="ＭＳ ゴシック" w:eastAsia="ＭＳ ゴシック"/>
          <w:sz w:val="21"/>
        </w:rPr>
        <w:t>)</w:t>
      </w:r>
      <w:r>
        <w:rPr>
          <w:rFonts w:hint="eastAsia" w:ascii="ＭＳ ゴシック" w:hAnsi="ＭＳ ゴシック" w:eastAsia="ＭＳ ゴシック"/>
          <w:sz w:val="21"/>
        </w:rPr>
        <w:t>３月末</w:t>
      </w:r>
      <w:r>
        <w:rPr>
          <w:rFonts w:hint="default" w:ascii="ＭＳ ゴシック" w:hAnsi="ＭＳ ゴシック" w:eastAsia="ＭＳ ゴシック"/>
          <w:sz w:val="21"/>
        </w:rPr>
        <w:t>）</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00" w:firstLineChars="100"/>
        <w:rPr>
          <w:rFonts w:hint="default"/>
        </w:rPr>
      </w:pPr>
      <w:r>
        <w:rPr>
          <w:rFonts w:hint="eastAsia"/>
          <w:sz w:val="20"/>
        </w:rPr>
        <w:t>※</w:t>
      </w:r>
      <w:r>
        <w:rPr>
          <w:rFonts w:hint="default"/>
          <w:sz w:val="20"/>
        </w:rPr>
        <w:t>全国は総務省統計局「人口推計」（</w:t>
      </w:r>
      <w:r>
        <w:rPr>
          <w:rFonts w:hint="eastAsia"/>
          <w:sz w:val="20"/>
        </w:rPr>
        <w:t>令和２年４</w:t>
      </w:r>
      <w:r>
        <w:rPr>
          <w:rFonts w:hint="default"/>
          <w:sz w:val="20"/>
        </w:rPr>
        <w:t>月</w:t>
      </w:r>
      <w:r>
        <w:rPr>
          <w:rFonts w:hint="eastAsia"/>
          <w:sz w:val="20"/>
        </w:rPr>
        <w:t>１</w:t>
      </w:r>
      <w:r>
        <w:rPr>
          <w:rFonts w:hint="default"/>
          <w:sz w:val="20"/>
        </w:rPr>
        <w:t>日）</w:t>
      </w:r>
    </w:p>
    <w:p>
      <w:pPr>
        <w:pStyle w:val="0"/>
        <w:rPr>
          <w:rFonts w:hint="default"/>
        </w:rPr>
      </w:pPr>
    </w:p>
    <w:p>
      <w:pPr>
        <w:pStyle w:val="0"/>
        <w:rPr>
          <w:rFonts w:hint="default"/>
        </w:rPr>
      </w:pPr>
    </w:p>
    <w:p>
      <w:pPr>
        <w:pStyle w:val="0"/>
        <w:rPr>
          <w:rFonts w:hint="default"/>
        </w:rPr>
      </w:pPr>
    </w:p>
    <w:p>
      <w:pPr>
        <w:pStyle w:val="4"/>
        <w:ind w:left="0" w:leftChars="0"/>
        <w:rPr>
          <w:rFonts w:hint="default" w:ascii="メイリオ" w:hAnsi="メイリオ" w:eastAsia="メイリオ"/>
          <w:b w:val="0"/>
          <w:sz w:val="28"/>
        </w:rPr>
      </w:pPr>
      <w:bookmarkStart w:id="25" w:name="_Toc59007757"/>
      <w:r>
        <w:rPr>
          <w:rFonts w:hint="eastAsia" w:ascii="メイリオ" w:hAnsi="メイリオ" w:eastAsia="メイリオ"/>
          <w:b w:val="0"/>
          <w:sz w:val="28"/>
        </w:rPr>
        <w:t>（３）要支援・要介護認定の原因疾患</w:t>
      </w:r>
      <w:bookmarkEnd w:id="25"/>
    </w:p>
    <w:p>
      <w:pPr>
        <w:pStyle w:val="5"/>
        <w:ind w:left="0" w:leftChars="0" w:firstLine="240" w:firstLineChars="100"/>
        <w:rPr>
          <w:rFonts w:hint="default" w:ascii="ＭＳ ゴシック" w:hAnsi="ＭＳ ゴシック" w:eastAsia="ＭＳ ゴシック"/>
        </w:rPr>
      </w:pPr>
      <w:bookmarkStart w:id="26" w:name="_Toc59007758"/>
      <w:r>
        <w:rPr>
          <w:rFonts w:hint="eastAsia" w:ascii="ＭＳ ゴシック" w:hAnsi="ＭＳ ゴシック" w:eastAsia="ＭＳ ゴシック"/>
        </w:rPr>
        <w:t>ア）新規に要支援・要介護認定を受けたかたの原因疾患</w:t>
      </w:r>
      <w:bookmarkEnd w:id="26"/>
    </w:p>
    <w:p>
      <w:pPr>
        <w:pStyle w:val="0"/>
        <w:ind w:left="240" w:leftChars="100" w:firstLine="240" w:firstLineChars="100"/>
        <w:jc w:val="both"/>
        <w:rPr>
          <w:rFonts w:hint="default"/>
        </w:rPr>
      </w:pPr>
      <w:r>
        <w:rPr>
          <w:rFonts w:hint="eastAsia"/>
        </w:rPr>
        <w:t>令和元</w:t>
      </w:r>
      <w:r>
        <w:rPr>
          <w:rFonts w:hint="default"/>
        </w:rPr>
        <w:t>年</w:t>
      </w:r>
      <w:r>
        <w:rPr>
          <w:rFonts w:hint="eastAsia"/>
        </w:rPr>
        <w:t>(</w:t>
      </w:r>
      <w:r>
        <w:rPr>
          <w:rFonts w:hint="default"/>
        </w:rPr>
        <w:t>201</w:t>
      </w:r>
      <w:r>
        <w:rPr>
          <w:rFonts w:hint="eastAsia"/>
        </w:rPr>
        <w:t>9</w:t>
      </w:r>
      <w:r>
        <w:rPr>
          <w:rFonts w:hint="default"/>
        </w:rPr>
        <w:t>年</w:t>
      </w:r>
      <w:r>
        <w:rPr>
          <w:rFonts w:hint="eastAsia"/>
        </w:rPr>
        <w:t>)12</w:t>
      </w:r>
      <w:r>
        <w:rPr>
          <w:rFonts w:hint="default"/>
        </w:rPr>
        <w:t>月から</w:t>
      </w:r>
      <w:r>
        <w:rPr>
          <w:rFonts w:hint="eastAsia"/>
        </w:rPr>
        <w:t>令和２年</w:t>
      </w:r>
      <w:r>
        <w:rPr>
          <w:rFonts w:hint="eastAsia"/>
        </w:rPr>
        <w:t>(</w:t>
      </w:r>
      <w:r>
        <w:rPr>
          <w:rFonts w:hint="default"/>
        </w:rPr>
        <w:t>2020</w:t>
      </w:r>
      <w:r>
        <w:rPr>
          <w:rFonts w:hint="eastAsia"/>
        </w:rPr>
        <w:t>年</w:t>
      </w:r>
      <w:r>
        <w:rPr>
          <w:rFonts w:hint="default"/>
        </w:rPr>
        <w:t>)</w:t>
      </w:r>
      <w:r>
        <w:rPr>
          <w:rFonts w:hint="eastAsia"/>
        </w:rPr>
        <w:t>３</w:t>
      </w:r>
      <w:r>
        <w:rPr>
          <w:rFonts w:hint="default"/>
        </w:rPr>
        <w:t>月末までの４か月間に、新規に要支</w:t>
      </w:r>
    </w:p>
    <w:p>
      <w:pPr>
        <w:pStyle w:val="0"/>
        <w:ind w:left="240" w:leftChars="100"/>
        <w:jc w:val="both"/>
        <w:rPr>
          <w:rFonts w:hint="default"/>
        </w:rPr>
      </w:pPr>
      <w:r>
        <w:rPr>
          <w:rFonts w:hint="default"/>
        </w:rPr>
        <w:t>援・要介護認定を受けたかたの原因疾患を見ると、要支援１</w:t>
      </w:r>
      <w:r>
        <w:rPr>
          <w:rFonts w:hint="eastAsia"/>
          <w:color w:val="000000" w:themeColor="text1"/>
        </w:rPr>
        <w:t>・</w:t>
      </w:r>
      <w:r>
        <w:rPr>
          <w:rFonts w:hint="default"/>
        </w:rPr>
        <w:t>２では「骨関節疾患」（</w:t>
      </w:r>
      <w:r>
        <w:rPr>
          <w:rFonts w:hint="default"/>
        </w:rPr>
        <w:t>2</w:t>
      </w:r>
      <w:r>
        <w:rPr>
          <w:rFonts w:hint="eastAsia"/>
        </w:rPr>
        <w:t>6.3</w:t>
      </w:r>
      <w:r>
        <w:rPr>
          <w:rFonts w:hint="default"/>
        </w:rPr>
        <w:t>％）が最も多く、</w:t>
      </w:r>
      <w:r>
        <w:rPr>
          <w:rFonts w:hint="eastAsia"/>
        </w:rPr>
        <w:t>次</w:t>
      </w:r>
      <w:r>
        <w:rPr>
          <w:rFonts w:hint="default"/>
        </w:rPr>
        <w:t>いで「骨折」（</w:t>
      </w:r>
      <w:r>
        <w:rPr>
          <w:rFonts w:hint="default"/>
        </w:rPr>
        <w:t>15.</w:t>
      </w:r>
      <w:r>
        <w:rPr>
          <w:rFonts w:hint="eastAsia"/>
        </w:rPr>
        <w:t>5</w:t>
      </w:r>
      <w:r>
        <w:rPr>
          <w:rFonts w:hint="default"/>
        </w:rPr>
        <w:t>％）であるのに対して、要介護１では「認知症」（</w:t>
      </w:r>
      <w:r>
        <w:rPr>
          <w:rFonts w:hint="default"/>
        </w:rPr>
        <w:t>4</w:t>
      </w:r>
      <w:r>
        <w:rPr>
          <w:rFonts w:hint="eastAsia"/>
        </w:rPr>
        <w:t>2.1</w:t>
      </w:r>
      <w:r>
        <w:rPr>
          <w:rFonts w:hint="default"/>
        </w:rPr>
        <w:t>％）が最も多く、</w:t>
      </w:r>
      <w:r>
        <w:rPr>
          <w:rFonts w:hint="eastAsia"/>
        </w:rPr>
        <w:t>次</w:t>
      </w:r>
      <w:r>
        <w:rPr>
          <w:rFonts w:hint="default"/>
        </w:rPr>
        <w:t>いで「</w:t>
      </w:r>
      <w:r>
        <w:rPr>
          <w:rFonts w:hint="eastAsia"/>
        </w:rPr>
        <w:t>悪性新生物</w:t>
      </w:r>
      <w:r>
        <w:rPr>
          <w:rFonts w:hint="default"/>
        </w:rPr>
        <w:t>」（</w:t>
      </w:r>
      <w:r>
        <w:rPr>
          <w:rFonts w:hint="eastAsia"/>
        </w:rPr>
        <w:t>22.8</w:t>
      </w:r>
      <w:r>
        <w:rPr>
          <w:rFonts w:hint="default"/>
        </w:rPr>
        <w:t>％）であり、</w:t>
      </w:r>
      <w:r>
        <w:rPr>
          <w:rFonts w:hint="eastAsia"/>
        </w:rPr>
        <w:t>要介護２以上では「脳血管疾患」（</w:t>
      </w:r>
      <w:r>
        <w:rPr>
          <w:rFonts w:hint="eastAsia"/>
        </w:rPr>
        <w:t>23.7</w:t>
      </w:r>
      <w:r>
        <w:rPr>
          <w:rFonts w:hint="default"/>
        </w:rPr>
        <w:t>％）が最も多く、次いで「認知症」（</w:t>
      </w:r>
      <w:r>
        <w:rPr>
          <w:rFonts w:hint="default"/>
        </w:rPr>
        <w:t>1</w:t>
      </w:r>
      <w:r>
        <w:rPr>
          <w:rFonts w:hint="eastAsia"/>
        </w:rPr>
        <w:t>7.8</w:t>
      </w:r>
      <w:r>
        <w:rPr>
          <w:rFonts w:hint="default"/>
        </w:rPr>
        <w:t>％）となっています。</w:t>
      </w:r>
    </w:p>
    <w:p>
      <w:pPr>
        <w:pStyle w:val="0"/>
        <w:ind w:left="240" w:hanging="240" w:hangingChars="10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11</w:t>
      </w:r>
      <w:r>
        <w:rPr>
          <w:rFonts w:hint="eastAsia" w:ascii="ＭＳ ゴシック" w:hAnsi="ＭＳ ゴシック" w:eastAsia="ＭＳ ゴシック"/>
          <w:sz w:val="21"/>
        </w:rPr>
        <w:t>：新規に要支援・要介護認定を受けたかたの主な原因疾患</w:t>
      </w:r>
    </w:p>
    <w:tbl>
      <w:tblPr>
        <w:tblStyle w:val="11"/>
        <w:tblW w:w="9416" w:type="dxa"/>
        <w:tblInd w:w="274" w:type="dxa"/>
        <w:tblLayout w:type="fixed"/>
        <w:tblCellMar>
          <w:left w:w="0" w:type="dxa"/>
          <w:right w:w="0" w:type="dxa"/>
        </w:tblCellMar>
        <w:tblLook w:firstRow="1" w:lastRow="0" w:firstColumn="1" w:lastColumn="0" w:noHBand="0" w:noVBand="1" w:val="04A0"/>
      </w:tblPr>
      <w:tblGrid>
        <w:gridCol w:w="423"/>
        <w:gridCol w:w="1684"/>
        <w:gridCol w:w="912"/>
        <w:gridCol w:w="913"/>
        <w:gridCol w:w="913"/>
        <w:gridCol w:w="913"/>
        <w:gridCol w:w="912"/>
        <w:gridCol w:w="913"/>
        <w:gridCol w:w="913"/>
        <w:gridCol w:w="920"/>
      </w:tblGrid>
      <w:tr>
        <w:trPr>
          <w:trHeight w:val="330" w:hRule="atLeast"/>
        </w:trPr>
        <w:tc>
          <w:tcPr>
            <w:tcW w:w="2107" w:type="dxa"/>
            <w:gridSpan w:val="2"/>
            <w:vMerge w:val="restart"/>
            <w:tcBorders>
              <w:top w:val="single" w:color="auto" w:sz="6" w:space="0"/>
              <w:left w:val="single" w:color="auto" w:sz="6" w:space="0"/>
              <w:bottom w:val="none" w:color="auto" w:sz="0" w:space="0"/>
              <w:right w:val="single" w:color="auto" w:sz="6" w:space="0"/>
              <w:tl2br w:val="none" w:color="auto" w:sz="0" w:space="0"/>
              <w:tr2bl w:val="none" w:color="auto" w:sz="0" w:space="0"/>
            </w:tcBorders>
            <w:shd w:val="clear" w:color="auto" w:themeFill="accent5" w:themeFillTint="66" w:themeFillShade="FF"/>
            <w:tcMar>
              <w:top w:w="0" w:type="dxa"/>
              <w:left w:w="10" w:type="dxa"/>
              <w:bottom w:w="0" w:type="dxa"/>
              <w:right w:w="5" w:type="dxa"/>
            </w:tcMar>
            <w:vAlign w:val="center"/>
          </w:tcPr>
          <w:p>
            <w:pPr>
              <w:pStyle w:val="0"/>
              <w:jc w:val="center"/>
              <w:rPr>
                <w:rFonts w:hint="default"/>
                <w:sz w:val="22"/>
              </w:rPr>
            </w:pPr>
            <w:r>
              <w:rPr>
                <w:rFonts w:hint="eastAsia" w:ascii="ＭＳ ゴシック" w:hAnsi="ＭＳ ゴシック" w:eastAsia="ＭＳ ゴシック"/>
              </w:rPr>
              <w:t>原因疾患</w:t>
            </w:r>
          </w:p>
        </w:tc>
        <w:tc>
          <w:tcPr>
            <w:tcW w:w="1825" w:type="dxa"/>
            <w:gridSpan w:val="2"/>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要支援</w:t>
            </w:r>
            <w:r>
              <w:rPr>
                <w:rFonts w:hint="eastAsia" w:ascii="ＭＳ Ｐゴシック" w:hAnsi="ＭＳ Ｐゴシック" w:eastAsia="ＭＳ Ｐゴシック"/>
                <w:sz w:val="22"/>
              </w:rPr>
              <w:t>１・２</w:t>
            </w:r>
          </w:p>
        </w:tc>
        <w:tc>
          <w:tcPr>
            <w:tcW w:w="1826" w:type="dxa"/>
            <w:gridSpan w:val="2"/>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要介護１</w:t>
            </w:r>
          </w:p>
        </w:tc>
        <w:tc>
          <w:tcPr>
            <w:tcW w:w="1825" w:type="dxa"/>
            <w:gridSpan w:val="2"/>
            <w:tcBorders>
              <w:top w:val="single" w:color="auto" w:sz="6" w:space="0"/>
              <w:left w:val="single" w:color="auto" w:sz="6" w:space="0"/>
              <w:bottom w:val="single" w:color="auto" w:sz="6" w:space="0"/>
              <w:right w:val="double" w:color="auto" w:sz="4"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要介護</w:t>
            </w:r>
            <w:r>
              <w:rPr>
                <w:rFonts w:hint="eastAsia" w:ascii="ＭＳ Ｐゴシック" w:hAnsi="ＭＳ Ｐゴシック" w:eastAsia="ＭＳ Ｐゴシック"/>
                <w:sz w:val="22"/>
              </w:rPr>
              <w:t>２～５</w:t>
            </w:r>
          </w:p>
        </w:tc>
        <w:tc>
          <w:tcPr>
            <w:tcW w:w="1833" w:type="dxa"/>
            <w:gridSpan w:val="2"/>
            <w:tcBorders>
              <w:top w:val="single" w:color="auto" w:sz="6" w:space="0"/>
              <w:left w:val="double" w:color="auto" w:sz="4"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合計</w:t>
            </w:r>
          </w:p>
        </w:tc>
      </w:tr>
      <w:tr>
        <w:trPr>
          <w:trHeight w:val="330" w:hRule="atLeast"/>
        </w:trPr>
        <w:tc>
          <w:tcPr>
            <w:tcW w:w="2107" w:type="dxa"/>
            <w:gridSpan w:val="2"/>
            <w:vMerge w:val="continue"/>
            <w:tcBorders>
              <w:top w:val="none" w:color="auto" w:sz="0"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10" w:type="dxa"/>
              <w:bottom w:w="0" w:type="dxa"/>
              <w:right w:w="5" w:type="dxa"/>
            </w:tcMar>
            <w:vAlign w:val="center"/>
          </w:tcPr>
          <w:p>
            <w:pPr>
              <w:pStyle w:val="0"/>
              <w:jc w:val="center"/>
              <w:rPr>
                <w:rFonts w:hint="default"/>
                <w:sz w:val="22"/>
              </w:rPr>
            </w:pP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人数</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割合</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人数</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割合</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人数</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割合</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5" w:type="dxa"/>
            </w:tcMar>
            <w:vAlign w:val="center"/>
          </w:tcPr>
          <w:p>
            <w:pPr>
              <w:pStyle w:val="0"/>
              <w:jc w:val="center"/>
              <w:rPr>
                <w:rFonts w:hint="default"/>
                <w:sz w:val="22"/>
              </w:rPr>
            </w:pPr>
            <w:r>
              <w:rPr>
                <w:rFonts w:hint="default" w:ascii="ＭＳ Ｐゴシック" w:hAnsi="ＭＳ Ｐゴシック" w:eastAsia="ＭＳ Ｐゴシック"/>
                <w:sz w:val="22"/>
              </w:rPr>
              <w:t>人数</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tcMar>
              <w:top w:w="0" w:type="dxa"/>
              <w:left w:w="5" w:type="dxa"/>
              <w:bottom w:w="0" w:type="dxa"/>
              <w:right w:w="10" w:type="dxa"/>
            </w:tcMar>
            <w:vAlign w:val="center"/>
          </w:tcPr>
          <w:p>
            <w:pPr>
              <w:pStyle w:val="0"/>
              <w:jc w:val="center"/>
              <w:rPr>
                <w:rFonts w:hint="default"/>
                <w:sz w:val="22"/>
              </w:rPr>
            </w:pPr>
            <w:r>
              <w:rPr>
                <w:rFonts w:hint="default" w:ascii="ＭＳ Ｐゴシック" w:hAnsi="ＭＳ Ｐゴシック" w:eastAsia="ＭＳ Ｐゴシック"/>
                <w:sz w:val="22"/>
              </w:rPr>
              <w:t>割合</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rPr>
            </w:pPr>
            <w:r>
              <w:rPr>
                <w:rFonts w:hint="eastAsia"/>
              </w:rPr>
              <w:t>1</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認知症</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17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8.0</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48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42.</w:t>
            </w:r>
            <w:r>
              <w:rPr>
                <w:rFonts w:hint="eastAsia"/>
              </w:rPr>
              <mc:AlternateContent>
                <mc:Choice Requires="wps">
                  <w:drawing>
                    <wp:anchor distT="0" distB="0" distL="114300" distR="114300" simplePos="0" relativeHeight="9" behindDoc="0" locked="1" layoutInCell="1" hidden="0" allowOverlap="1">
                      <wp:simplePos x="0" y="0"/>
                      <wp:positionH relativeFrom="column">
                        <wp:posOffset>-4445</wp:posOffset>
                      </wp:positionH>
                      <wp:positionV relativeFrom="paragraph">
                        <wp:posOffset>-15875</wp:posOffset>
                      </wp:positionV>
                      <wp:extent cx="560070" cy="257175"/>
                      <wp:effectExtent l="19685" t="19685" r="29845" b="20320"/>
                      <wp:wrapNone/>
                      <wp:docPr id="1045" name="角丸四角形 1145"/>
                      <a:graphic xmlns:a="http://schemas.openxmlformats.org/drawingml/2006/main">
                        <a:graphicData uri="http://schemas.microsoft.com/office/word/2010/wordprocessingShape">
                          <wps:wsp>
                            <wps:cNvPr id="1045" name="角丸四角形 1145"/>
                            <wps:cNvSpPr/>
                            <wps:spPr>
                              <a:xfrm>
                                <a:off x="0" y="0"/>
                                <a:ext cx="560070" cy="257175"/>
                              </a:xfrm>
                              <a:prstGeom prst="roundRect">
                                <a:avLst>
                                  <a:gd name="adj" fmla="val 45238"/>
                                </a:avLst>
                              </a:prstGeom>
                              <a:noFill/>
                              <a:ln w="285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145" style="mso-wrap-distance-right:9pt;mso-wrap-distance-bottom:0pt;margin-top:-1.25pt;mso-position-vertical-relative:text;mso-position-horizontal-relative:text;position:absolute;height:20.25pt;mso-wrap-distance-top:0pt;width:44.1pt;mso-wrap-distance-left:9pt;margin-left:-0.35pt;z-index:9;" o:spid="_x0000_s1045" o:allowincell="t" o:allowoverlap="t" filled="f" stroked="t" strokecolor="#000000 [3213]" strokeweight="2.25pt" o:spt="2" arcsize="29646f">
                      <v:fill/>
                      <v:stroke linestyle="single" miterlimit="8" endcap="flat" dashstyle="solid" filltype="solid"/>
                      <v:textbox style="layout-flow:horizontal;"/>
                      <v:imagedata o:title=""/>
                      <w10:wrap type="none" anchorx="text" anchory="text"/>
                      <w10:anchorlock/>
                    </v:roundrect>
                  </w:pict>
                </mc:Fallback>
              </mc:AlternateContent>
            </w:r>
            <w:r>
              <w:rPr>
                <w:rFonts w:hint="default"/>
                <w:sz w:val="22"/>
              </w:rPr>
              <w:t>1</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21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17.8</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86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19.3</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rPr>
            </w:pPr>
            <w:r>
              <w:rPr>
                <w:rFonts w:hint="default" w:ascii="ＭＳ ゴシック" w:hAnsi="ＭＳ ゴシック" w:eastAsia="ＭＳ ゴシック"/>
                <w:sz w:val="22"/>
              </w:rPr>
              <w:t>2</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骨関節疾患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56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26.</w:t>
            </w:r>
            <w:r>
              <w:rPr>
                <w:rFonts w:hint="eastAsia"/>
              </w:rPr>
              <mc:AlternateContent>
                <mc:Choice Requires="wps">
                  <w:drawing>
                    <wp:anchor distT="0" distB="0" distL="114300" distR="114300" simplePos="0" relativeHeight="10" behindDoc="0" locked="1" layoutInCell="1" hidden="0" allowOverlap="1">
                      <wp:simplePos x="0" y="0"/>
                      <wp:positionH relativeFrom="column">
                        <wp:posOffset>-1905</wp:posOffset>
                      </wp:positionH>
                      <wp:positionV relativeFrom="paragraph">
                        <wp:posOffset>-17145</wp:posOffset>
                      </wp:positionV>
                      <wp:extent cx="560070" cy="257175"/>
                      <wp:effectExtent l="19685" t="19685" r="29845" b="20320"/>
                      <wp:wrapNone/>
                      <wp:docPr id="1046" name="角丸四角形 1145"/>
                      <a:graphic xmlns:a="http://schemas.openxmlformats.org/drawingml/2006/main">
                        <a:graphicData uri="http://schemas.microsoft.com/office/word/2010/wordprocessingShape">
                          <wps:wsp>
                            <wps:cNvPr id="1046" name="角丸四角形 1145"/>
                            <wps:cNvSpPr/>
                            <wps:spPr>
                              <a:xfrm>
                                <a:off x="0" y="0"/>
                                <a:ext cx="560070" cy="257175"/>
                              </a:xfrm>
                              <a:prstGeom prst="roundRect">
                                <a:avLst>
                                  <a:gd name="adj" fmla="val 45238"/>
                                </a:avLst>
                              </a:prstGeom>
                              <a:noFill/>
                              <a:ln w="285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145" style="mso-wrap-distance-right:9pt;mso-wrap-distance-bottom:0pt;margin-top:-1.35pt;mso-position-vertical-relative:text;mso-position-horizontal-relative:text;position:absolute;height:20.25pt;mso-wrap-distance-top:0pt;width:44.1pt;mso-wrap-distance-left:9pt;margin-left:-0.15pt;z-index:10;" o:spid="_x0000_s1046" o:allowincell="t" o:allowoverlap="t" filled="f" stroked="t" strokecolor="#000000 [3213]" strokeweight="2.25pt" o:spt="2" arcsize="29646f">
                      <v:fill/>
                      <v:stroke linestyle="single" miterlimit="8" endcap="flat" dashstyle="solid" filltype="solid"/>
                      <v:textbox style="layout-flow:horizontal;"/>
                      <v:imagedata o:title=""/>
                      <w10:wrap type="none" anchorx="text" anchory="text"/>
                      <w10:anchorlock/>
                    </v:roundrect>
                  </w:pict>
                </mc:Fallback>
              </mc:AlternateContent>
            </w:r>
            <w:r>
              <w:rPr>
                <w:rFonts w:hint="default"/>
                <w:sz w:val="22"/>
              </w:rPr>
              <w:t>3</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12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10.5</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9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7.6</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77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17.3</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3</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骨折</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15.5</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1.8</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15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12.7</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50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11.2</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4</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脳血管疾患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9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4.2</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3.5</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28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23</w:t>
            </w:r>
            <w:r>
              <w:rPr>
                <w:rFonts w:hint="eastAsia"/>
              </w:rPr>
              <mc:AlternateContent>
                <mc:Choice Requires="wps">
                  <w:drawing>
                    <wp:anchor distT="0" distB="0" distL="114300" distR="114300" simplePos="0" relativeHeight="11" behindDoc="0" locked="1" layoutInCell="1" hidden="0" allowOverlap="1">
                      <wp:simplePos x="0" y="0"/>
                      <wp:positionH relativeFrom="column">
                        <wp:posOffset>-1270</wp:posOffset>
                      </wp:positionH>
                      <wp:positionV relativeFrom="paragraph">
                        <wp:posOffset>-11430</wp:posOffset>
                      </wp:positionV>
                      <wp:extent cx="560070" cy="257175"/>
                      <wp:effectExtent l="19685" t="19685" r="29845" b="20320"/>
                      <wp:wrapNone/>
                      <wp:docPr id="1047" name="角丸四角形 1145"/>
                      <a:graphic xmlns:a="http://schemas.openxmlformats.org/drawingml/2006/main">
                        <a:graphicData uri="http://schemas.microsoft.com/office/word/2010/wordprocessingShape">
                          <wps:wsp>
                            <wps:cNvPr id="1047" name="角丸四角形 1145"/>
                            <wps:cNvSpPr/>
                            <wps:spPr>
                              <a:xfrm>
                                <a:off x="0" y="0"/>
                                <a:ext cx="560070" cy="257175"/>
                              </a:xfrm>
                              <a:prstGeom prst="roundRect">
                                <a:avLst>
                                  <a:gd name="adj" fmla="val 45238"/>
                                </a:avLst>
                              </a:prstGeom>
                              <a:noFill/>
                              <a:ln w="285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145" style="mso-wrap-distance-right:9pt;mso-wrap-distance-bottom:0pt;margin-top:-0.9pt;mso-position-vertical-relative:text;mso-position-horizontal-relative:text;position:absolute;height:20.25pt;mso-wrap-distance-top:0pt;width:44.1pt;mso-wrap-distance-left:9pt;margin-left:-0.1pt;z-index:11;" o:spid="_x0000_s1047" o:allowincell="t" o:allowoverlap="t" filled="f" stroked="t" strokecolor="#000000 [3213]" strokeweight="2.25pt" o:spt="2" arcsize="29646f">
                      <v:fill/>
                      <v:stroke linestyle="single" miterlimit="8" endcap="flat" dashstyle="solid" filltype="solid"/>
                      <v:textbox style="layout-flow:horizontal;"/>
                      <v:imagedata o:title=""/>
                      <w10:wrap type="none" anchorx="text" anchory="text"/>
                      <w10:anchorlock/>
                    </v:roundrect>
                  </w:pict>
                </mc:Fallback>
              </mc:AlternateContent>
            </w:r>
            <w:r>
              <w:rPr>
                <w:rFonts w:hint="default"/>
                <w:sz w:val="22"/>
              </w:rPr>
              <w:t>.7</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41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9.2</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5</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悪性新生物</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17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8.0</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26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22.8</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13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11.0</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56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12.6</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6</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廃用症候群</w:t>
            </w:r>
            <w:r>
              <w:rPr>
                <w:rFonts w:hint="eastAsia" w:ascii="ＭＳ ゴシック" w:hAnsi="ＭＳ ゴシック" w:eastAsia="ＭＳ ゴシック"/>
                <w:sz w:val="22"/>
                <w:vertAlign w:val="superscript"/>
              </w:rPr>
              <w:t>※</w:t>
            </w:r>
            <w:r>
              <w:rPr>
                <w:rStyle w:val="42"/>
                <w:rFonts w:hint="eastAsia" w:ascii="ＭＳ ゴシック" w:hAnsi="ＭＳ ゴシック" w:eastAsia="ＭＳ ゴシック"/>
                <w:sz w:val="22"/>
              </w:rPr>
              <w:footnoteReference w:id="2"/>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10.8</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3.5</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7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5.9</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34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7.6</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7</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呼吸器疾患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12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5.6</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2.6</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5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4.2</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20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4.5</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8</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難病</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6.1</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1.8</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1.7</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17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3.8</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9</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精神疾患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1.9</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2.6</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3.4</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11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2.5</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10</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心疾患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6.1</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2.6</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9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7.6</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25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5.6</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11</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腎・泌尿器疾患</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1.4</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0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0.0</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0.8</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4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0.9</w:t>
            </w:r>
            <w:r>
              <w:rPr>
                <w:rFonts w:hint="default"/>
                <w:sz w:val="22"/>
              </w:rPr>
              <w:t>％</w:t>
            </w:r>
          </w:p>
        </w:tc>
      </w:tr>
      <w:tr>
        <w:trPr>
          <w:trHeight w:val="330" w:hRule="atLeast"/>
        </w:trPr>
        <w:tc>
          <w:tcPr>
            <w:tcW w:w="423" w:type="dxa"/>
            <w:tcBorders>
              <w:top w:val="single" w:color="auto" w:sz="6" w:space="0"/>
              <w:left w:val="single" w:color="auto" w:sz="6" w:space="0"/>
              <w:bottom w:val="single" w:color="auto" w:sz="6"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12</w:t>
            </w:r>
          </w:p>
        </w:tc>
        <w:tc>
          <w:tcPr>
            <w:tcW w:w="1684" w:type="dxa"/>
            <w:tcBorders>
              <w:top w:val="single" w:color="auto" w:sz="6" w:space="0"/>
              <w:left w:val="single" w:color="000000" w:sz="4" w:space="0"/>
              <w:bottom w:val="single" w:color="auto" w:sz="6"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eastAsia" w:ascii="ＭＳ ゴシック" w:hAnsi="ＭＳ ゴシック" w:eastAsia="ＭＳ ゴシック"/>
                <w:color w:val="000000" w:themeColor="text1"/>
                <w:sz w:val="22"/>
              </w:rPr>
              <w:t>糖尿病</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0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0.0</w:t>
            </w:r>
            <w:r>
              <w:rPr>
                <w:rFonts w:hint="default"/>
                <w:sz w:val="22"/>
              </w:rPr>
              <w:t>％</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 </w:t>
            </w:r>
          </w:p>
        </w:tc>
        <w:tc>
          <w:tcPr>
            <w:tcW w:w="913"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0.9</w:t>
            </w:r>
            <w:r>
              <w:rPr>
                <w:rFonts w:hint="default"/>
                <w:sz w:val="22"/>
              </w:rPr>
              <w:t>％</w:t>
            </w:r>
          </w:p>
        </w:tc>
        <w:tc>
          <w:tcPr>
            <w:tcW w:w="91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 </w:t>
            </w:r>
          </w:p>
        </w:tc>
        <w:tc>
          <w:tcPr>
            <w:tcW w:w="913" w:type="dxa"/>
            <w:tcBorders>
              <w:top w:val="single" w:color="auto" w:sz="6" w:space="0"/>
              <w:left w:val="single" w:color="auto" w:sz="6" w:space="0"/>
              <w:bottom w:val="single" w:color="auto" w:sz="6"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0.8</w:t>
            </w:r>
            <w:r>
              <w:rPr>
                <w:rFonts w:hint="default"/>
                <w:sz w:val="22"/>
              </w:rPr>
              <w:t>％</w:t>
            </w:r>
          </w:p>
        </w:tc>
        <w:tc>
          <w:tcPr>
            <w:tcW w:w="913" w:type="dxa"/>
            <w:tcBorders>
              <w:top w:val="single" w:color="auto" w:sz="6" w:space="0"/>
              <w:left w:val="double" w:color="auto" w:sz="4" w:space="0"/>
              <w:bottom w:val="single" w:color="auto" w:sz="6"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 </w:t>
            </w:r>
          </w:p>
        </w:tc>
        <w:tc>
          <w:tcPr>
            <w:tcW w:w="920" w:type="dxa"/>
            <w:tcBorders>
              <w:top w:val="single" w:color="auto" w:sz="6" w:space="0"/>
              <w:left w:val="single" w:color="auto" w:sz="6" w:space="0"/>
              <w:bottom w:val="single" w:color="auto" w:sz="6"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0.4</w:t>
            </w:r>
            <w:r>
              <w:rPr>
                <w:rFonts w:hint="default"/>
                <w:sz w:val="22"/>
              </w:rPr>
              <w:t>％</w:t>
            </w:r>
          </w:p>
        </w:tc>
      </w:tr>
      <w:tr>
        <w:trPr>
          <w:trHeight w:val="330" w:hRule="atLeast"/>
        </w:trPr>
        <w:tc>
          <w:tcPr>
            <w:tcW w:w="423" w:type="dxa"/>
            <w:tcBorders>
              <w:top w:val="single" w:color="auto" w:sz="6" w:space="0"/>
              <w:left w:val="single" w:color="auto" w:sz="6" w:space="0"/>
              <w:bottom w:val="double" w:color="000000" w:sz="5" w:space="0"/>
              <w:right w:val="single" w:color="000000" w:sz="4" w:space="0"/>
              <w:tl2br w:val="none" w:color="auto" w:sz="0" w:space="0"/>
              <w:tr2bl w:val="none" w:color="auto" w:sz="0" w:space="0"/>
            </w:tcBorders>
            <w:shd w:val="clear" w:color="auto" w:fill="BDD6EE"/>
            <w:tcMar>
              <w:top w:w="0" w:type="dxa"/>
              <w:left w:w="10"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13</w:t>
            </w:r>
          </w:p>
        </w:tc>
        <w:tc>
          <w:tcPr>
            <w:tcW w:w="1684" w:type="dxa"/>
            <w:tcBorders>
              <w:top w:val="single" w:color="auto" w:sz="6" w:space="0"/>
              <w:left w:val="single" w:color="000000" w:sz="4" w:space="0"/>
              <w:bottom w:val="double" w:color="000000" w:sz="5" w:space="0"/>
              <w:right w:val="single" w:color="auto" w:sz="6" w:space="0"/>
              <w:tl2br w:val="none" w:color="auto" w:sz="0" w:space="0"/>
              <w:tr2bl w:val="none" w:color="auto" w:sz="0" w:space="0"/>
            </w:tcBorders>
            <w:shd w:val="clear" w:color="auto" w:fill="BDD6EE"/>
            <w:tcMar>
              <w:top w:w="0" w:type="dxa"/>
              <w:left w:w="5" w:type="dxa"/>
              <w:bottom w:w="0" w:type="dxa"/>
              <w:right w:w="5" w:type="dxa"/>
            </w:tcMar>
            <w:vAlign w:val="center"/>
          </w:tcPr>
          <w:p>
            <w:pPr>
              <w:pStyle w:val="0"/>
              <w:jc w:val="center"/>
              <w:rPr>
                <w:rFonts w:hint="default" w:ascii="ＭＳ ゴシック" w:hAnsi="ＭＳ ゴシック" w:eastAsia="ＭＳ ゴシック"/>
                <w:sz w:val="22"/>
              </w:rPr>
            </w:pPr>
            <w:r>
              <w:rPr>
                <w:rFonts w:hint="default" w:ascii="ＭＳ ゴシック" w:hAnsi="ＭＳ ゴシック" w:eastAsia="ＭＳ ゴシック"/>
                <w:sz w:val="22"/>
              </w:rPr>
              <w:t>その他</w:t>
            </w:r>
          </w:p>
        </w:tc>
        <w:tc>
          <w:tcPr>
            <w:tcW w:w="912"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13 </w:t>
            </w:r>
          </w:p>
        </w:tc>
        <w:tc>
          <w:tcPr>
            <w:tcW w:w="913"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6.1</w:t>
            </w:r>
            <w:r>
              <w:rPr>
                <w:rFonts w:hint="default"/>
                <w:sz w:val="22"/>
              </w:rPr>
              <w:t>％</w:t>
            </w:r>
          </w:p>
        </w:tc>
        <w:tc>
          <w:tcPr>
            <w:tcW w:w="913"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6 </w:t>
            </w:r>
          </w:p>
        </w:tc>
        <w:tc>
          <w:tcPr>
            <w:tcW w:w="913"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5.3</w:t>
            </w:r>
            <w:r>
              <w:rPr>
                <w:rFonts w:hint="default"/>
                <w:sz w:val="22"/>
              </w:rPr>
              <w:t>％</w:t>
            </w:r>
          </w:p>
        </w:tc>
        <w:tc>
          <w:tcPr>
            <w:tcW w:w="912"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3 </w:t>
            </w:r>
          </w:p>
        </w:tc>
        <w:tc>
          <w:tcPr>
            <w:tcW w:w="913" w:type="dxa"/>
            <w:tcBorders>
              <w:top w:val="single" w:color="auto" w:sz="6" w:space="0"/>
              <w:left w:val="single" w:color="auto" w:sz="6" w:space="0"/>
              <w:bottom w:val="double" w:color="000000" w:sz="5" w:space="0"/>
              <w:right w:val="double" w:color="auto" w:sz="4"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2.5</w:t>
            </w:r>
            <w:r>
              <w:rPr>
                <w:rFonts w:hint="default"/>
                <w:sz w:val="22"/>
              </w:rPr>
              <w:t>％</w:t>
            </w:r>
          </w:p>
        </w:tc>
        <w:tc>
          <w:tcPr>
            <w:tcW w:w="913" w:type="dxa"/>
            <w:tcBorders>
              <w:top w:val="single" w:color="auto" w:sz="6" w:space="0"/>
              <w:left w:val="double" w:color="auto" w:sz="4" w:space="0"/>
              <w:bottom w:val="double" w:color="000000" w:sz="5" w:space="0"/>
              <w:right w:val="single" w:color="auto" w:sz="6" w:space="0"/>
              <w:tl2br w:val="none" w:color="auto" w:sz="0" w:space="0"/>
              <w:tr2bl w:val="none" w:color="auto" w:sz="0" w:space="0"/>
            </w:tcBorders>
            <w:tcMar>
              <w:top w:w="0" w:type="dxa"/>
              <w:left w:w="5" w:type="dxa"/>
              <w:bottom w:w="0" w:type="dxa"/>
              <w:right w:w="5" w:type="dxa"/>
            </w:tcMar>
            <w:vAlign w:val="top"/>
          </w:tcPr>
          <w:p>
            <w:pPr>
              <w:pStyle w:val="0"/>
              <w:jc w:val="center"/>
              <w:rPr>
                <w:rFonts w:hint="default"/>
                <w:sz w:val="22"/>
              </w:rPr>
            </w:pPr>
            <w:r>
              <w:rPr>
                <w:rFonts w:hint="default"/>
                <w:sz w:val="22"/>
              </w:rPr>
              <w:t xml:space="preserve">22 </w:t>
            </w:r>
          </w:p>
        </w:tc>
        <w:tc>
          <w:tcPr>
            <w:tcW w:w="920" w:type="dxa"/>
            <w:tcBorders>
              <w:top w:val="single" w:color="auto" w:sz="6" w:space="0"/>
              <w:left w:val="single" w:color="auto" w:sz="6" w:space="0"/>
              <w:bottom w:val="double" w:color="000000" w:sz="5" w:space="0"/>
              <w:right w:val="single" w:color="auto" w:sz="6" w:space="0"/>
              <w:tl2br w:val="none" w:color="auto" w:sz="0" w:space="0"/>
              <w:tr2bl w:val="none" w:color="auto" w:sz="0" w:space="0"/>
            </w:tcBorders>
            <w:tcMar>
              <w:top w:w="0" w:type="dxa"/>
              <w:left w:w="5" w:type="dxa"/>
              <w:bottom w:w="0" w:type="dxa"/>
              <w:right w:w="10" w:type="dxa"/>
            </w:tcMar>
            <w:vAlign w:val="top"/>
          </w:tcPr>
          <w:p>
            <w:pPr>
              <w:pStyle w:val="0"/>
              <w:jc w:val="center"/>
              <w:rPr>
                <w:rFonts w:hint="default"/>
                <w:sz w:val="22"/>
              </w:rPr>
            </w:pPr>
            <w:r>
              <w:rPr>
                <w:rFonts w:hint="default"/>
                <w:sz w:val="22"/>
              </w:rPr>
              <w:t>4.9</w:t>
            </w:r>
            <w:r>
              <w:rPr>
                <w:rFonts w:hint="default"/>
                <w:sz w:val="22"/>
              </w:rPr>
              <w:t>％</w:t>
            </w:r>
          </w:p>
        </w:tc>
      </w:tr>
      <w:tr>
        <w:trPr>
          <w:trHeight w:val="330" w:hRule="atLeast"/>
        </w:trPr>
        <w:tc>
          <w:tcPr>
            <w:tcW w:w="2107" w:type="dxa"/>
            <w:gridSpan w:val="2"/>
            <w:tcBorders>
              <w:top w:val="double" w:color="000000" w:sz="5" w:space="0"/>
              <w:left w:val="single" w:color="auto" w:sz="6" w:space="0"/>
              <w:bottom w:val="single" w:color="auto" w:sz="6" w:space="0"/>
              <w:right w:val="single" w:color="auto" w:sz="6" w:space="0"/>
              <w:tl2br w:val="none" w:color="auto" w:sz="0" w:space="0"/>
              <w:tr2bl w:val="none" w:color="auto" w:sz="0" w:space="0"/>
            </w:tcBorders>
            <w:shd w:val="clear" w:color="auto" w:fill="auto"/>
            <w:tcMar>
              <w:top w:w="0" w:type="dxa"/>
              <w:left w:w="10" w:type="dxa"/>
              <w:bottom w:w="0" w:type="dxa"/>
              <w:right w:w="5" w:type="dxa"/>
            </w:tcMar>
            <w:vAlign w:val="center"/>
          </w:tcPr>
          <w:p>
            <w:pPr>
              <w:pStyle w:val="0"/>
              <w:jc w:val="center"/>
              <w:rPr>
                <w:rFonts w:hint="default"/>
                <w:sz w:val="22"/>
              </w:rPr>
            </w:pPr>
            <w:r>
              <w:rPr>
                <w:rFonts w:hint="eastAsia"/>
                <w:sz w:val="22"/>
              </w:rPr>
              <w:t>合計</w:t>
            </w:r>
          </w:p>
        </w:tc>
        <w:tc>
          <w:tcPr>
            <w:tcW w:w="912" w:type="dxa"/>
            <w:tcBorders>
              <w:top w:val="double" w:color="000000" w:sz="5" w:space="0"/>
              <w:left w:val="single" w:color="auto" w:sz="6" w:space="0"/>
              <w:bottom w:val="single" w:color="auto" w:sz="6" w:space="0"/>
              <w:right w:val="single" w:color="auto" w:sz="6"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sz w:val="22"/>
              </w:rPr>
            </w:pPr>
            <w:r>
              <w:rPr>
                <w:rFonts w:hint="eastAsia"/>
                <w:sz w:val="22"/>
              </w:rPr>
              <w:t>213</w:t>
            </w:r>
          </w:p>
        </w:tc>
        <w:tc>
          <w:tcPr>
            <w:tcW w:w="913" w:type="dxa"/>
            <w:tcBorders>
              <w:top w:val="double" w:color="000000" w:sz="5" w:space="0"/>
              <w:left w:val="single" w:color="auto" w:sz="6" w:space="0"/>
              <w:bottom w:val="single" w:color="auto" w:sz="6" w:space="0"/>
              <w:right w:val="single" w:color="auto" w:sz="6" w:space="0"/>
              <w:tl2br w:val="single" w:color="auto" w:sz="6" w:space="0"/>
              <w:tr2bl w:val="none" w:color="auto" w:sz="0" w:space="0"/>
            </w:tcBorders>
            <w:shd w:val="clear" w:color="auto" w:fill="auto"/>
            <w:vAlign w:val="center"/>
          </w:tcPr>
          <w:p>
            <w:pPr>
              <w:pStyle w:val="0"/>
              <w:jc w:val="center"/>
              <w:rPr>
                <w:rFonts w:hint="default"/>
                <w:sz w:val="22"/>
              </w:rPr>
            </w:pPr>
          </w:p>
        </w:tc>
        <w:tc>
          <w:tcPr>
            <w:tcW w:w="913" w:type="dxa"/>
            <w:tcBorders>
              <w:top w:val="double" w:color="000000" w:sz="5" w:space="0"/>
              <w:left w:val="single" w:color="auto" w:sz="6" w:space="0"/>
              <w:bottom w:val="single" w:color="auto" w:sz="6" w:space="0"/>
              <w:right w:val="single" w:color="auto" w:sz="6"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sz w:val="22"/>
              </w:rPr>
            </w:pPr>
            <w:r>
              <w:rPr>
                <w:rFonts w:hint="eastAsia"/>
                <w:sz w:val="22"/>
              </w:rPr>
              <w:t>114</w:t>
            </w:r>
          </w:p>
        </w:tc>
        <w:tc>
          <w:tcPr>
            <w:tcW w:w="913" w:type="dxa"/>
            <w:tcBorders>
              <w:top w:val="double" w:color="000000" w:sz="5" w:space="0"/>
              <w:left w:val="single" w:color="auto" w:sz="6" w:space="0"/>
              <w:bottom w:val="single" w:color="auto" w:sz="6" w:space="0"/>
              <w:right w:val="single" w:color="auto" w:sz="6" w:space="0"/>
              <w:tl2br w:val="single" w:color="auto" w:sz="6" w:space="0"/>
              <w:tr2bl w:val="none" w:color="auto" w:sz="0" w:space="0"/>
            </w:tcBorders>
            <w:shd w:val="clear" w:color="auto" w:fill="auto"/>
            <w:vAlign w:val="center"/>
          </w:tcPr>
          <w:p>
            <w:pPr>
              <w:pStyle w:val="0"/>
              <w:jc w:val="center"/>
              <w:rPr>
                <w:rFonts w:hint="default"/>
                <w:sz w:val="22"/>
              </w:rPr>
            </w:pPr>
          </w:p>
        </w:tc>
        <w:tc>
          <w:tcPr>
            <w:tcW w:w="912" w:type="dxa"/>
            <w:tcBorders>
              <w:top w:val="double" w:color="000000" w:sz="5" w:space="0"/>
              <w:left w:val="single" w:color="auto" w:sz="6" w:space="0"/>
              <w:bottom w:val="single" w:color="auto" w:sz="6" w:space="0"/>
              <w:right w:val="single" w:color="auto" w:sz="6"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default"/>
                <w:sz w:val="22"/>
              </w:rPr>
            </w:pPr>
            <w:r>
              <w:rPr>
                <w:rFonts w:hint="eastAsia"/>
                <w:sz w:val="22"/>
              </w:rPr>
              <w:t>1</w:t>
            </w:r>
            <w:r>
              <w:rPr>
                <w:rFonts w:hint="default"/>
                <w:sz w:val="22"/>
              </w:rPr>
              <w:t>18</w:t>
            </w:r>
          </w:p>
        </w:tc>
        <w:tc>
          <w:tcPr>
            <w:tcW w:w="913" w:type="dxa"/>
            <w:tcBorders>
              <w:top w:val="double" w:color="000000" w:sz="5" w:space="0"/>
              <w:left w:val="single" w:color="auto" w:sz="6" w:space="0"/>
              <w:bottom w:val="single" w:color="auto" w:sz="6" w:space="0"/>
              <w:right w:val="double" w:color="auto" w:sz="4" w:space="0"/>
              <w:tl2br w:val="single" w:color="auto" w:sz="6" w:space="0"/>
              <w:tr2bl w:val="none" w:color="auto" w:sz="0" w:space="0"/>
            </w:tcBorders>
            <w:shd w:val="clear" w:color="auto" w:fill="auto"/>
            <w:vAlign w:val="center"/>
          </w:tcPr>
          <w:p>
            <w:pPr>
              <w:pStyle w:val="0"/>
              <w:jc w:val="center"/>
              <w:rPr>
                <w:rFonts w:hint="default"/>
                <w:sz w:val="22"/>
              </w:rPr>
            </w:pPr>
          </w:p>
        </w:tc>
        <w:tc>
          <w:tcPr>
            <w:tcW w:w="913" w:type="dxa"/>
            <w:tcBorders>
              <w:top w:val="double" w:color="000000" w:sz="5" w:space="0"/>
              <w:left w:val="double" w:color="auto" w:sz="4" w:space="0"/>
              <w:bottom w:val="single" w:color="auto" w:sz="6" w:space="0"/>
              <w:right w:val="single" w:color="auto" w:sz="6" w:space="0"/>
              <w:tl2br w:val="none" w:color="auto" w:sz="0" w:space="0"/>
              <w:tr2bl w:val="none" w:color="auto" w:sz="0" w:space="0"/>
            </w:tcBorders>
            <w:shd w:val="clear" w:color="auto" w:fill="auto"/>
            <w:tcMar>
              <w:top w:w="0" w:type="dxa"/>
              <w:left w:w="5" w:type="dxa"/>
              <w:bottom w:w="0" w:type="dxa"/>
              <w:right w:w="10" w:type="dxa"/>
            </w:tcMar>
            <w:vAlign w:val="center"/>
          </w:tcPr>
          <w:p>
            <w:pPr>
              <w:pStyle w:val="0"/>
              <w:jc w:val="center"/>
              <w:rPr>
                <w:rFonts w:hint="default"/>
                <w:sz w:val="22"/>
              </w:rPr>
            </w:pPr>
            <w:r>
              <w:rPr>
                <w:rFonts w:hint="eastAsia"/>
                <w:sz w:val="22"/>
              </w:rPr>
              <w:t>4</w:t>
            </w:r>
            <w:r>
              <w:rPr>
                <w:rFonts w:hint="default"/>
                <w:sz w:val="22"/>
              </w:rPr>
              <w:t>45</w:t>
            </w:r>
          </w:p>
        </w:tc>
        <w:tc>
          <w:tcPr>
            <w:tcW w:w="920" w:type="dxa"/>
            <w:tcBorders>
              <w:top w:val="double" w:color="000000" w:sz="5" w:space="0"/>
              <w:left w:val="single" w:color="auto" w:sz="6" w:space="0"/>
              <w:bottom w:val="single" w:color="auto" w:sz="6" w:space="0"/>
              <w:right w:val="single" w:color="auto" w:sz="6" w:space="0"/>
              <w:tl2br w:val="single" w:color="auto" w:sz="6" w:space="0"/>
              <w:tr2bl w:val="none" w:color="auto" w:sz="0" w:space="0"/>
            </w:tcBorders>
            <w:shd w:val="clear" w:color="auto" w:fill="auto"/>
            <w:vAlign w:val="center"/>
          </w:tcPr>
          <w:p>
            <w:pPr>
              <w:pStyle w:val="0"/>
              <w:jc w:val="center"/>
              <w:rPr>
                <w:rFonts w:hint="default"/>
                <w:sz w:val="22"/>
              </w:rPr>
            </w:pPr>
          </w:p>
        </w:tc>
      </w:tr>
    </w:tbl>
    <w:p>
      <w:pPr>
        <w:pStyle w:val="0"/>
        <w:ind w:firstLine="400" w:firstLineChars="200"/>
        <w:rPr>
          <w:rFonts w:hint="default"/>
          <w:sz w:val="20"/>
        </w:rPr>
      </w:pPr>
      <w:r>
        <w:rPr>
          <w:rFonts w:hint="eastAsia"/>
          <w:sz w:val="20"/>
        </w:rPr>
        <w:t>※令和元年</w:t>
      </w:r>
      <w:r>
        <w:rPr>
          <w:rFonts w:hint="default"/>
          <w:sz w:val="20"/>
        </w:rPr>
        <w:t>(2019</w:t>
      </w:r>
      <w:r>
        <w:rPr>
          <w:rFonts w:hint="default"/>
          <w:sz w:val="20"/>
        </w:rPr>
        <w:t>年</w:t>
      </w:r>
      <w:r>
        <w:rPr>
          <w:rFonts w:hint="default"/>
          <w:sz w:val="20"/>
        </w:rPr>
        <w:t>)12</w:t>
      </w:r>
      <w:r>
        <w:rPr>
          <w:rFonts w:hint="default"/>
          <w:sz w:val="20"/>
        </w:rPr>
        <w:t>月から令和</w:t>
      </w:r>
      <w:r>
        <w:rPr>
          <w:rFonts w:hint="eastAsia"/>
          <w:sz w:val="20"/>
        </w:rPr>
        <w:t>２</w:t>
      </w:r>
      <w:r>
        <w:rPr>
          <w:rFonts w:hint="default"/>
          <w:sz w:val="20"/>
        </w:rPr>
        <w:t>年</w:t>
      </w:r>
      <w:r>
        <w:rPr>
          <w:rFonts w:hint="default"/>
          <w:sz w:val="20"/>
        </w:rPr>
        <w:t>(2020</w:t>
      </w:r>
      <w:r>
        <w:rPr>
          <w:rFonts w:hint="default"/>
          <w:sz w:val="20"/>
        </w:rPr>
        <w:t>年</w:t>
      </w:r>
      <w:r>
        <w:rPr>
          <w:rFonts w:hint="default"/>
          <w:sz w:val="20"/>
        </w:rPr>
        <w:t>)</w:t>
      </w:r>
      <w:r>
        <w:rPr>
          <w:rFonts w:hint="eastAsia"/>
          <w:sz w:val="20"/>
        </w:rPr>
        <w:t>３</w:t>
      </w:r>
      <w:r>
        <w:rPr>
          <w:rFonts w:hint="default"/>
          <w:sz w:val="20"/>
        </w:rPr>
        <w:t>月まで</w:t>
      </w:r>
      <w:r>
        <w:rPr>
          <w:rFonts w:hint="default"/>
          <w:sz w:val="20"/>
        </w:rPr>
        <w:t>(</w:t>
      </w:r>
      <w:r>
        <w:rPr>
          <w:rFonts w:hint="eastAsia"/>
          <w:sz w:val="20"/>
        </w:rPr>
        <w:t>４</w:t>
      </w:r>
      <w:r>
        <w:rPr>
          <w:rFonts w:hint="default"/>
          <w:sz w:val="20"/>
        </w:rPr>
        <w:t>か月間</w:t>
      </w:r>
      <w:r>
        <w:rPr>
          <w:rFonts w:hint="default"/>
          <w:sz w:val="20"/>
        </w:rPr>
        <w:t>)</w:t>
      </w:r>
      <w:r>
        <w:rPr>
          <w:rFonts w:hint="default"/>
          <w:sz w:val="20"/>
        </w:rPr>
        <w:t>に新規認定されたかたの状況</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5"/>
        <w:ind w:left="0" w:leftChars="0" w:firstLine="240" w:firstLineChars="100"/>
        <w:rPr>
          <w:rFonts w:hint="default" w:ascii="ＭＳ ゴシック" w:hAnsi="ＭＳ ゴシック" w:eastAsia="ＭＳ ゴシック"/>
        </w:rPr>
      </w:pPr>
      <w:bookmarkStart w:id="27" w:name="_Toc59007759"/>
      <w:r>
        <w:rPr>
          <w:rFonts w:hint="eastAsia" w:ascii="ＭＳ ゴシック" w:hAnsi="ＭＳ ゴシック" w:eastAsia="ＭＳ ゴシック"/>
        </w:rPr>
        <w:t>イ）主な原因疾患の介護度別にみた特徴（第７</w:t>
      </w:r>
      <w:r>
        <w:rPr>
          <w:rFonts w:hint="default" w:ascii="ＭＳ ゴシック" w:hAnsi="ＭＳ ゴシック" w:eastAsia="ＭＳ ゴシック"/>
        </w:rPr>
        <w:t>期計画策定時との比較）</w:t>
      </w:r>
      <w:bookmarkEnd w:id="27"/>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①要支援１・２</w:t>
      </w:r>
    </w:p>
    <w:p>
      <w:pPr>
        <w:pStyle w:val="0"/>
        <w:ind w:left="240" w:leftChars="100" w:firstLine="240" w:firstLineChars="100"/>
        <w:jc w:val="both"/>
        <w:rPr>
          <w:rFonts w:hint="default"/>
        </w:rPr>
      </w:pPr>
      <w:r>
        <w:rPr>
          <w:rFonts w:hint="eastAsia"/>
        </w:rPr>
        <w:t>新規申請で要支援になるかたの原因疾患の第１位は骨関節疾患で、骨折を含めると４割強を占めます。要支援状態になることを予防するために、個々人にあった運動プログラムの提供や運動の場の確保が必要で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12</w:t>
      </w:r>
      <w:r>
        <w:rPr>
          <w:rFonts w:hint="eastAsia" w:ascii="ＭＳ ゴシック" w:hAnsi="ＭＳ ゴシック" w:eastAsia="ＭＳ ゴシック"/>
          <w:sz w:val="21"/>
        </w:rPr>
        <w:t>：新規に認定を受けたかたの主な原因疾患の割合（要支援１・２）</w:t>
      </w:r>
    </w:p>
    <w:tbl>
      <w:tblPr>
        <w:tblStyle w:val="59"/>
        <w:tblpPr w:leftFromText="142" w:rightFromText="142" w:topFromText="0" w:bottomFromText="0" w:vertAnchor="text" w:horzAnchor="text" w:tblpX="1257" w:tblpY="19"/>
        <w:tblW w:w="0" w:type="auto"/>
        <w:tblLayout w:type="fixed"/>
        <w:tblLook w:firstRow="1" w:lastRow="0" w:firstColumn="1" w:lastColumn="0" w:noHBand="0" w:noVBand="1" w:val="04A0"/>
      </w:tblPr>
      <w:tblGrid>
        <w:gridCol w:w="2002"/>
        <w:gridCol w:w="2310"/>
        <w:gridCol w:w="2310"/>
      </w:tblGrid>
      <w:tr>
        <w:trPr>
          <w:trHeight w:val="406"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原因疾患</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今回の調査結果</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第７期計画策定時</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骨関節疾患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w:t>
            </w:r>
            <w:r>
              <w:rPr>
                <w:rFonts w:hint="default" w:ascii="ＭＳ 明朝" w:hAnsi="ＭＳ 明朝" w:eastAsia="ＭＳ 明朝"/>
              </w:rPr>
              <w:t>6.3</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28.4</w:t>
            </w:r>
            <w:r>
              <w:rPr>
                <w:rFonts w:hint="eastAsia" w:ascii="ＭＳ 明朝" w:hAnsi="ＭＳ 明朝" w:eastAsia="ＭＳ 明朝"/>
              </w:rPr>
              <w:t>％</w:t>
            </w:r>
          </w:p>
        </w:tc>
      </w:tr>
      <w:tr>
        <w:trPr>
          <w:trHeight w:val="34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骨折</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w:t>
            </w:r>
            <w:r>
              <w:rPr>
                <w:rFonts w:hint="default" w:ascii="ＭＳ 明朝" w:hAnsi="ＭＳ 明朝" w:eastAsia="ＭＳ 明朝"/>
              </w:rPr>
              <w:t>5.5</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15.3</w:t>
            </w:r>
            <w:r>
              <w:rPr>
                <w:rFonts w:hint="eastAsia" w:ascii="ＭＳ 明朝" w:hAnsi="ＭＳ 明朝" w:eastAsia="ＭＳ 明朝"/>
              </w:rPr>
              <w:t>％</w:t>
            </w:r>
          </w:p>
        </w:tc>
      </w:tr>
      <w:tr>
        <w:trPr>
          <w:trHeight w:val="34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廃用症候群</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w:t>
            </w:r>
            <w:r>
              <w:rPr>
                <w:rFonts w:hint="default" w:ascii="ＭＳ 明朝" w:hAnsi="ＭＳ 明朝" w:eastAsia="ＭＳ 明朝"/>
              </w:rPr>
              <w:t>0.8</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6</w:t>
            </w:r>
            <w:r>
              <w:rPr>
                <w:rFonts w:hint="default" w:ascii="ＭＳ 明朝" w:hAnsi="ＭＳ 明朝" w:eastAsia="ＭＳ 明朝"/>
              </w:rPr>
              <w:t>.8</w:t>
            </w:r>
            <w:r>
              <w:rPr>
                <w:rFonts w:hint="eastAsia" w:ascii="ＭＳ 明朝" w:hAnsi="ＭＳ 明朝" w:eastAsia="ＭＳ 明朝"/>
              </w:rPr>
              <w:t>％</w:t>
            </w:r>
          </w:p>
        </w:tc>
      </w:tr>
      <w:tr>
        <w:trPr>
          <w:trHeight w:val="34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認知症</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8</w:t>
            </w:r>
            <w:r>
              <w:rPr>
                <w:rFonts w:hint="default" w:ascii="ＭＳ 明朝" w:hAnsi="ＭＳ 明朝" w:eastAsia="ＭＳ 明朝"/>
              </w:rPr>
              <w:t>.0</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8.5</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悪性新生物</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8</w:t>
            </w:r>
            <w:r>
              <w:rPr>
                <w:rFonts w:hint="default" w:ascii="ＭＳ 明朝" w:hAnsi="ＭＳ 明朝" w:eastAsia="ＭＳ 明朝"/>
              </w:rPr>
              <w:t>.0</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10.2</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難病</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6</w:t>
            </w:r>
            <w:r>
              <w:rPr>
                <w:rFonts w:hint="default" w:ascii="ＭＳ 明朝" w:hAnsi="ＭＳ 明朝" w:eastAsia="ＭＳ 明朝"/>
              </w:rPr>
              <w:t>.1</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3</w:t>
            </w:r>
            <w:r>
              <w:rPr>
                <w:rFonts w:hint="default" w:ascii="ＭＳ 明朝" w:hAnsi="ＭＳ 明朝" w:eastAsia="ＭＳ 明朝"/>
              </w:rPr>
              <w:t>.4</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心疾患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6</w:t>
            </w:r>
            <w:r>
              <w:rPr>
                <w:rFonts w:hint="default" w:ascii="ＭＳ 明朝" w:hAnsi="ＭＳ 明朝" w:eastAsia="ＭＳ 明朝"/>
              </w:rPr>
              <w:t>.1</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3.4</w:t>
            </w:r>
            <w:r>
              <w:rPr>
                <w:rFonts w:hint="eastAsia" w:ascii="ＭＳ 明朝" w:hAnsi="ＭＳ 明朝" w:eastAsia="ＭＳ 明朝"/>
              </w:rPr>
              <w:t>％</w:t>
            </w:r>
          </w:p>
        </w:tc>
      </w:tr>
    </w:tbl>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②要介護１</w:t>
      </w:r>
    </w:p>
    <w:p>
      <w:pPr>
        <w:pStyle w:val="0"/>
        <w:ind w:left="240" w:leftChars="100" w:firstLine="240" w:firstLineChars="100"/>
        <w:jc w:val="both"/>
        <w:rPr>
          <w:rFonts w:hint="default"/>
        </w:rPr>
      </w:pPr>
      <w:r>
        <w:rPr>
          <w:rFonts w:hint="eastAsia"/>
        </w:rPr>
        <w:t>新規申請で要介護１になるかたの原因疾患は、認知症が圧倒的に多い状況です。すでに日常生活に支障が出てきているかたも多く、サービスの導入が重要となります。また、認知症予防・重症化予防のためのアプローチも継続し、更に充実していく必要があります。</w:t>
      </w:r>
    </w:p>
    <w:p>
      <w:pPr>
        <w:pStyle w:val="0"/>
        <w:ind w:firstLine="480" w:firstLineChars="20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13</w:t>
      </w:r>
      <w:r>
        <w:rPr>
          <w:rFonts w:hint="eastAsia" w:ascii="ＭＳ ゴシック" w:hAnsi="ＭＳ ゴシック" w:eastAsia="ＭＳ ゴシック"/>
          <w:sz w:val="21"/>
        </w:rPr>
        <w:t>：新規に認定を受けたかたの主な原因疾患の割合（要介護１）</w:t>
      </w:r>
    </w:p>
    <w:tbl>
      <w:tblPr>
        <w:tblStyle w:val="59"/>
        <w:tblpPr w:leftFromText="142" w:rightFromText="142" w:topFromText="0" w:bottomFromText="0" w:vertAnchor="text" w:horzAnchor="text" w:tblpX="1338" w:tblpY="48"/>
        <w:tblW w:w="0" w:type="auto"/>
        <w:tblLayout w:type="fixed"/>
        <w:tblLook w:firstRow="1" w:lastRow="0" w:firstColumn="1" w:lastColumn="0" w:noHBand="0" w:noVBand="1" w:val="04A0"/>
      </w:tblPr>
      <w:tblGrid>
        <w:gridCol w:w="2002"/>
        <w:gridCol w:w="2310"/>
        <w:gridCol w:w="2310"/>
      </w:tblGrid>
      <w:tr>
        <w:trPr>
          <w:trHeight w:val="413"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原因疾患</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今回の調査結果</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第７期計画策定時</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認知症</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4</w:t>
            </w:r>
            <w:r>
              <w:rPr>
                <w:rFonts w:hint="default" w:ascii="ＭＳ 明朝" w:hAnsi="ＭＳ 明朝" w:eastAsia="ＭＳ 明朝"/>
              </w:rPr>
              <w:t>2.1</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46.8</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悪性新生物</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2</w:t>
            </w:r>
            <w:r>
              <w:rPr>
                <w:rFonts w:hint="default" w:ascii="ＭＳ 明朝" w:hAnsi="ＭＳ 明朝" w:eastAsia="ＭＳ 明朝"/>
              </w:rPr>
              <w:t>2.8</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8.9</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骨関節疾患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w:t>
            </w:r>
            <w:r>
              <w:rPr>
                <w:rFonts w:hint="default" w:ascii="ＭＳ 明朝" w:hAnsi="ＭＳ 明朝" w:eastAsia="ＭＳ 明朝"/>
              </w:rPr>
              <w:t>0.5</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10.1</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脳血管疾患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3</w:t>
            </w:r>
            <w:r>
              <w:rPr>
                <w:rFonts w:hint="default" w:ascii="ＭＳ 明朝" w:hAnsi="ＭＳ 明朝" w:eastAsia="ＭＳ 明朝"/>
              </w:rPr>
              <w:t>.5</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8.9</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廃用症候群</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3</w:t>
            </w:r>
            <w:r>
              <w:rPr>
                <w:rFonts w:hint="default" w:ascii="ＭＳ 明朝" w:hAnsi="ＭＳ 明朝" w:eastAsia="ＭＳ 明朝"/>
              </w:rPr>
              <w:t>.5</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5.1</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呼吸器疾患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w:t>
            </w:r>
            <w:r>
              <w:rPr>
                <w:rFonts w:hint="default" w:ascii="ＭＳ 明朝" w:hAnsi="ＭＳ 明朝" w:eastAsia="ＭＳ 明朝"/>
              </w:rPr>
              <w:t>.6</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1.3</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精神疾患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w:t>
            </w:r>
            <w:r>
              <w:rPr>
                <w:rFonts w:hint="default" w:ascii="ＭＳ 明朝" w:hAnsi="ＭＳ 明朝" w:eastAsia="ＭＳ 明朝"/>
              </w:rPr>
              <w:t>.6</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3.8</w:t>
            </w:r>
            <w:r>
              <w:rPr>
                <w:rFonts w:hint="eastAsia" w:ascii="ＭＳ 明朝" w:hAnsi="ＭＳ 明朝" w:eastAsia="ＭＳ 明朝"/>
              </w:rPr>
              <w:t>％</w:t>
            </w:r>
          </w:p>
        </w:tc>
      </w:tr>
      <w:tr>
        <w:trPr>
          <w:trHeight w:val="320"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心疾患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w:t>
            </w:r>
            <w:r>
              <w:rPr>
                <w:rFonts w:hint="default" w:ascii="ＭＳ 明朝" w:hAnsi="ＭＳ 明朝" w:eastAsia="ＭＳ 明朝"/>
              </w:rPr>
              <w:t>.6</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0.0</w:t>
            </w:r>
            <w:r>
              <w:rPr>
                <w:rFonts w:hint="eastAsia" w:ascii="ＭＳ 明朝" w:hAnsi="ＭＳ 明朝" w:eastAsia="ＭＳ 明朝"/>
              </w:rPr>
              <w:t>％</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③要介護２～５</w:t>
      </w:r>
    </w:p>
    <w:p>
      <w:pPr>
        <w:pStyle w:val="0"/>
        <w:ind w:left="240" w:leftChars="100" w:firstLine="240" w:firstLineChars="100"/>
        <w:jc w:val="both"/>
        <w:rPr>
          <w:rFonts w:hint="default"/>
          <w:color w:val="FF0000"/>
        </w:rPr>
      </w:pPr>
      <w:r>
        <w:rPr>
          <w:rFonts w:hint="eastAsia"/>
          <w:color w:val="000000" w:themeColor="text1"/>
        </w:rPr>
        <w:t>新規申請で要介護２～５になるかたの原因疾患の第１位は脳血管疾患で、次いで認知症となっています。全国的にみても新規申請で要介護２～５になるかたの原因疾患の第１位は脳血管疾患であり、脳血管疾患の要因となる高血圧・高脂血症予防が重要です。　　　</w:t>
      </w:r>
    </w:p>
    <w:p>
      <w:pPr>
        <w:pStyle w:val="0"/>
        <w:ind w:left="240" w:leftChars="100" w:firstLine="240" w:firstLineChars="100"/>
        <w:jc w:val="both"/>
        <w:rPr>
          <w:rFonts w:hint="default"/>
          <w:color w:val="FF0000"/>
        </w:rPr>
      </w:pPr>
      <w:r>
        <w:rPr>
          <w:rFonts w:hint="eastAsia"/>
          <w:color w:val="000000" w:themeColor="text1"/>
        </w:rPr>
        <w:t>また、認知症を伴う骨折は、寝たきりに進展することが多いため、要介護状態の悪化を防ぐために、医療・介護連携を進め適切なサービスの提供が必要になります。</w:t>
      </w:r>
    </w:p>
    <w:p>
      <w:pPr>
        <w:pStyle w:val="0"/>
        <w:rPr>
          <w:rFonts w:hint="default"/>
          <w:color w:val="FF0000"/>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14</w:t>
      </w:r>
      <w:r>
        <w:rPr>
          <w:rFonts w:hint="eastAsia" w:ascii="ＭＳ ゴシック" w:hAnsi="ＭＳ ゴシック" w:eastAsia="ＭＳ ゴシック"/>
          <w:sz w:val="21"/>
        </w:rPr>
        <w:t>：新規に認定を受けたかたの主な原因疾患の割合（要介護２～５）</w:t>
      </w:r>
    </w:p>
    <w:tbl>
      <w:tblPr>
        <w:tblStyle w:val="59"/>
        <w:tblpPr w:leftFromText="142" w:rightFromText="142" w:topFromText="0" w:bottomFromText="0" w:vertAnchor="text" w:horzAnchor="text" w:tblpX="1338" w:tblpY="48"/>
        <w:tblW w:w="0" w:type="auto"/>
        <w:tblLayout w:type="fixed"/>
        <w:tblLook w:firstRow="1" w:lastRow="0" w:firstColumn="1" w:lastColumn="0" w:noHBand="0" w:noVBand="1" w:val="04A0"/>
      </w:tblPr>
      <w:tblGrid>
        <w:gridCol w:w="2002"/>
        <w:gridCol w:w="2310"/>
        <w:gridCol w:w="2310"/>
      </w:tblGrid>
      <w:tr>
        <w:trPr>
          <w:trHeight w:val="413"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原因疾患</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今回の調査結果</w:t>
            </w:r>
          </w:p>
        </w:tc>
        <w:tc>
          <w:tcPr>
            <w:tcW w:w="2310" w:type="dxa"/>
            <w:tcBorders>
              <w:top w:val="single" w:color="auto" w:sz="6" w:space="0"/>
              <w:left w:val="single" w:color="auto" w:sz="6" w:space="0"/>
              <w:bottom w:val="single" w:color="auto" w:sz="6" w:space="0"/>
              <w:right w:val="single" w:color="auto" w:sz="6" w:space="0"/>
              <w:tl2br w:val="nil"/>
              <w:tr2bl w:val="nil"/>
            </w:tcBorders>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第７期計画策定時</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脳血管疾患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23.7</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15.0</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認知症</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17.8</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15.7</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骨折</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12.7</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16.4</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悪性新生物</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11.0</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13.6</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骨関節疾患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7.6</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rPr>
            </w:pPr>
            <w:r>
              <w:rPr>
                <w:rFonts w:hint="eastAsia" w:ascii="ＭＳ 明朝" w:hAnsi="ＭＳ 明朝" w:eastAsia="ＭＳ 明朝"/>
              </w:rPr>
              <w:t>5.0</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心疾患</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7.6</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2.9</w:t>
            </w:r>
            <w:r>
              <w:rPr>
                <w:rFonts w:hint="eastAsia" w:ascii="ＭＳ 明朝" w:hAnsi="ＭＳ 明朝" w:eastAsia="ＭＳ 明朝"/>
              </w:rPr>
              <w:t>％</w:t>
            </w:r>
          </w:p>
        </w:tc>
      </w:tr>
      <w:tr>
        <w:trPr>
          <w:trHeight w:val="374" w:hRule="atLeast"/>
        </w:trPr>
        <w:tc>
          <w:tcPr>
            <w:tcW w:w="2002" w:type="dxa"/>
            <w:tcBorders>
              <w:top w:val="single" w:color="auto" w:sz="6" w:space="0"/>
              <w:left w:val="single" w:color="auto" w:sz="6" w:space="0"/>
              <w:bottom w:val="single" w:color="auto" w:sz="6" w:space="0"/>
              <w:right w:val="single" w:color="auto" w:sz="6"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廃用症候群</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5.9</w:t>
            </w:r>
            <w:r>
              <w:rPr>
                <w:rFonts w:hint="eastAsia" w:ascii="ＭＳ 明朝" w:hAnsi="ＭＳ 明朝" w:eastAsia="ＭＳ 明朝"/>
              </w:rPr>
              <w:t>％</w:t>
            </w:r>
          </w:p>
        </w:tc>
        <w:tc>
          <w:tcPr>
            <w:tcW w:w="2310" w:type="dxa"/>
            <w:tcBorders>
              <w:top w:val="single" w:color="auto" w:sz="6" w:space="0"/>
              <w:left w:val="single" w:color="auto" w:sz="6" w:space="0"/>
              <w:bottom w:val="single" w:color="auto" w:sz="6" w:space="0"/>
              <w:right w:val="single" w:color="auto" w:sz="6" w:space="0"/>
              <w:tl2br w:val="nil"/>
              <w:tr2bl w:val="nil"/>
            </w:tcBorders>
            <w:vAlign w:val="center"/>
          </w:tcPr>
          <w:p>
            <w:pPr>
              <w:pStyle w:val="0"/>
              <w:jc w:val="center"/>
              <w:rPr>
                <w:rFonts w:hint="default" w:ascii="ＭＳ 明朝" w:hAnsi="ＭＳ 明朝" w:eastAsia="ＭＳ 明朝"/>
              </w:rPr>
            </w:pPr>
            <w:r>
              <w:rPr>
                <w:rFonts w:hint="eastAsia" w:ascii="ＭＳ 明朝" w:hAnsi="ＭＳ 明朝" w:eastAsia="ＭＳ 明朝"/>
              </w:rPr>
              <w:t>5.7</w:t>
            </w:r>
            <w:r>
              <w:rPr>
                <w:rFonts w:hint="eastAsia" w:ascii="ＭＳ 明朝" w:hAnsi="ＭＳ 明朝" w:eastAsia="ＭＳ 明朝"/>
              </w:rPr>
              <w:t>％</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
        <w:ind w:left="0" w:leftChars="0"/>
        <w:rPr>
          <w:rFonts w:hint="default" w:ascii="メイリオ" w:hAnsi="メイリオ" w:eastAsia="メイリオ"/>
          <w:b w:val="0"/>
          <w:sz w:val="28"/>
        </w:rPr>
      </w:pPr>
      <w:bookmarkStart w:id="28" w:name="_Toc59007760"/>
      <w:r>
        <w:rPr>
          <w:rFonts w:hint="eastAsia" w:ascii="メイリオ" w:hAnsi="メイリオ" w:eastAsia="メイリオ"/>
          <w:b w:val="0"/>
          <w:sz w:val="28"/>
        </w:rPr>
        <w:t>（４）認知症高齢者の日常生活自立度の割合の推移</w:t>
      </w:r>
      <w:bookmarkEnd w:id="28"/>
    </w:p>
    <w:p>
      <w:pPr>
        <w:pStyle w:val="38"/>
        <w:ind w:left="0" w:leftChars="0" w:firstLine="240" w:firstLineChars="100"/>
        <w:jc w:val="both"/>
        <w:rPr>
          <w:rFonts w:hint="default"/>
          <w:b w:val="0"/>
          <w:sz w:val="24"/>
        </w:rPr>
      </w:pPr>
      <w:r>
        <w:rPr>
          <w:rFonts w:hint="eastAsia"/>
          <w:b w:val="0"/>
          <w:sz w:val="24"/>
        </w:rPr>
        <w:t>国の推計によれば、</w:t>
      </w:r>
      <w:r>
        <w:rPr>
          <w:rFonts w:hint="eastAsia"/>
          <w:b w:val="0"/>
          <w:sz w:val="24"/>
        </w:rPr>
        <w:t>65</w:t>
      </w:r>
      <w:r>
        <w:rPr>
          <w:rFonts w:hint="eastAsia"/>
          <w:b w:val="0"/>
          <w:sz w:val="24"/>
        </w:rPr>
        <w:t>歳以上人口に占める認知症高齢者の日常生活自立度Ⅱ以上の人の割合は、今後、</w:t>
      </w:r>
      <w:r>
        <w:rPr>
          <w:rFonts w:hint="eastAsia"/>
          <w:b w:val="0"/>
          <w:sz w:val="24"/>
        </w:rPr>
        <w:t>11.3</w:t>
      </w:r>
      <w:r>
        <w:rPr>
          <w:rFonts w:hint="eastAsia"/>
          <w:b w:val="0"/>
          <w:sz w:val="24"/>
        </w:rPr>
        <w:t>％（令和２年</w:t>
      </w:r>
      <w:r>
        <w:rPr>
          <w:rFonts w:hint="eastAsia"/>
          <w:b w:val="0"/>
          <w:sz w:val="24"/>
        </w:rPr>
        <w:t>(2020</w:t>
      </w:r>
      <w:r>
        <w:rPr>
          <w:rFonts w:hint="eastAsia"/>
          <w:b w:val="0"/>
          <w:sz w:val="24"/>
        </w:rPr>
        <w:t>年</w:t>
      </w:r>
      <w:r>
        <w:rPr>
          <w:rFonts w:hint="eastAsia"/>
          <w:b w:val="0"/>
          <w:sz w:val="24"/>
        </w:rPr>
        <w:t>)</w:t>
      </w:r>
      <w:r>
        <w:rPr>
          <w:rFonts w:hint="eastAsia"/>
          <w:b w:val="0"/>
          <w:sz w:val="24"/>
        </w:rPr>
        <w:t>）から</w:t>
      </w:r>
      <w:r>
        <w:rPr>
          <w:rFonts w:hint="eastAsia"/>
          <w:b w:val="0"/>
          <w:sz w:val="24"/>
        </w:rPr>
        <w:t>12.8</w:t>
      </w:r>
      <w:r>
        <w:rPr>
          <w:rFonts w:hint="eastAsia"/>
          <w:b w:val="0"/>
          <w:sz w:val="24"/>
        </w:rPr>
        <w:t>％（令和７年</w:t>
      </w:r>
      <w:r>
        <w:rPr>
          <w:rFonts w:hint="eastAsia"/>
          <w:b w:val="0"/>
          <w:sz w:val="24"/>
        </w:rPr>
        <w:t>(2025</w:t>
      </w:r>
      <w:r>
        <w:rPr>
          <w:rFonts w:hint="eastAsia"/>
          <w:b w:val="0"/>
          <w:sz w:val="24"/>
        </w:rPr>
        <w:t>年</w:t>
      </w:r>
      <w:r>
        <w:rPr>
          <w:rFonts w:hint="eastAsia"/>
          <w:b w:val="0"/>
          <w:sz w:val="24"/>
        </w:rPr>
        <w:t>)</w:t>
      </w:r>
      <w:r>
        <w:rPr>
          <w:rFonts w:hint="eastAsia"/>
          <w:b w:val="0"/>
          <w:sz w:val="24"/>
        </w:rPr>
        <w:t>）と</w:t>
      </w:r>
      <w:r>
        <w:rPr>
          <w:rFonts w:hint="eastAsia"/>
          <w:b w:val="0"/>
          <w:sz w:val="24"/>
        </w:rPr>
        <w:t>1.5</w:t>
      </w:r>
      <w:r>
        <w:rPr>
          <w:rFonts w:hint="eastAsia"/>
          <w:b w:val="0"/>
          <w:sz w:val="24"/>
        </w:rPr>
        <w:t>ポイントの増加が見込まれています。</w:t>
      </w:r>
    </w:p>
    <w:p>
      <w:pPr>
        <w:pStyle w:val="38"/>
        <w:ind w:left="0" w:leftChars="0" w:firstLine="240" w:firstLineChars="100"/>
        <w:jc w:val="both"/>
        <w:rPr>
          <w:rFonts w:hint="default"/>
          <w:b w:val="0"/>
          <w:sz w:val="24"/>
        </w:rPr>
      </w:pPr>
      <w:r>
        <w:rPr>
          <w:rFonts w:hint="eastAsia"/>
          <w:b w:val="0"/>
          <w:sz w:val="24"/>
        </w:rPr>
        <w:t>本市においても、平成</w:t>
      </w:r>
      <w:r>
        <w:rPr>
          <w:rFonts w:hint="eastAsia"/>
          <w:b w:val="0"/>
          <w:sz w:val="24"/>
        </w:rPr>
        <w:t>21</w:t>
      </w:r>
      <w:r>
        <w:rPr>
          <w:rFonts w:hint="eastAsia"/>
          <w:b w:val="0"/>
          <w:sz w:val="24"/>
        </w:rPr>
        <w:t>年度</w:t>
      </w:r>
      <w:r>
        <w:rPr>
          <w:rFonts w:hint="eastAsia"/>
          <w:b w:val="0"/>
          <w:sz w:val="24"/>
        </w:rPr>
        <w:t>(</w:t>
      </w:r>
      <w:r>
        <w:rPr>
          <w:rFonts w:hint="default"/>
          <w:b w:val="0"/>
          <w:sz w:val="24"/>
        </w:rPr>
        <w:t>2009</w:t>
      </w:r>
      <w:r>
        <w:rPr>
          <w:rFonts w:hint="eastAsia"/>
          <w:b w:val="0"/>
          <w:sz w:val="24"/>
        </w:rPr>
        <w:t>年度</w:t>
      </w:r>
      <w:r>
        <w:rPr>
          <w:rFonts w:hint="default"/>
          <w:b w:val="0"/>
          <w:sz w:val="24"/>
        </w:rPr>
        <w:t>)</w:t>
      </w:r>
      <w:r>
        <w:rPr>
          <w:rFonts w:hint="eastAsia"/>
          <w:b w:val="0"/>
          <w:sz w:val="24"/>
        </w:rPr>
        <w:t>の</w:t>
      </w:r>
      <w:r>
        <w:rPr>
          <w:rFonts w:hint="eastAsia"/>
          <w:b w:val="0"/>
          <w:sz w:val="24"/>
        </w:rPr>
        <w:t>8.2</w:t>
      </w:r>
      <w:r>
        <w:rPr>
          <w:rFonts w:hint="eastAsia"/>
          <w:b w:val="0"/>
          <w:sz w:val="24"/>
        </w:rPr>
        <w:t>％から令和元年度</w:t>
      </w:r>
      <w:r>
        <w:rPr>
          <w:rFonts w:hint="eastAsia"/>
          <w:b w:val="0"/>
          <w:sz w:val="24"/>
        </w:rPr>
        <w:t>(</w:t>
      </w:r>
      <w:r>
        <w:rPr>
          <w:rFonts w:hint="default"/>
          <w:b w:val="0"/>
          <w:sz w:val="24"/>
        </w:rPr>
        <w:t>2019</w:t>
      </w:r>
      <w:r>
        <w:rPr>
          <w:rFonts w:hint="eastAsia"/>
          <w:b w:val="0"/>
          <w:sz w:val="24"/>
        </w:rPr>
        <w:t>年度</w:t>
      </w:r>
      <w:r>
        <w:rPr>
          <w:rFonts w:hint="default"/>
          <w:b w:val="0"/>
          <w:sz w:val="24"/>
        </w:rPr>
        <w:t>)</w:t>
      </w:r>
      <w:r>
        <w:rPr>
          <w:rFonts w:hint="eastAsia"/>
          <w:b w:val="0"/>
          <w:sz w:val="24"/>
        </w:rPr>
        <w:t>の</w:t>
      </w:r>
      <w:r>
        <w:rPr>
          <w:rFonts w:hint="eastAsia"/>
          <w:b w:val="0"/>
          <w:sz w:val="24"/>
        </w:rPr>
        <w:t>1</w:t>
      </w:r>
      <w:r>
        <w:rPr>
          <w:rFonts w:hint="default"/>
          <w:b w:val="0"/>
          <w:sz w:val="24"/>
        </w:rPr>
        <w:t>1.</w:t>
      </w:r>
      <w:r>
        <w:rPr>
          <w:rFonts w:hint="eastAsia"/>
          <w:b w:val="0"/>
          <w:sz w:val="24"/>
        </w:rPr>
        <w:t>4</w:t>
      </w:r>
      <w:r>
        <w:rPr>
          <w:rFonts w:hint="eastAsia"/>
          <w:b w:val="0"/>
          <w:sz w:val="24"/>
        </w:rPr>
        <w:t>％と増加しており、今後も増加が見込まれます。</w:t>
      </w:r>
    </w:p>
    <w:p>
      <w:pPr>
        <w:pStyle w:val="38"/>
        <w:ind w:left="0" w:leftChars="0"/>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71" behindDoc="1" locked="0" layoutInCell="1" hidden="0" allowOverlap="1">
            <wp:simplePos x="0" y="0"/>
            <wp:positionH relativeFrom="column">
              <wp:posOffset>28575</wp:posOffset>
            </wp:positionH>
            <wp:positionV relativeFrom="paragraph">
              <wp:posOffset>66675</wp:posOffset>
            </wp:positionV>
            <wp:extent cx="6057900" cy="2476500"/>
            <wp:effectExtent l="0" t="0" r="0" b="0"/>
            <wp:wrapNone/>
            <wp:docPr id="1048" name="Picture 2"/>
            <a:graphic xmlns:a="http://schemas.openxmlformats.org/drawingml/2006/main">
              <a:graphicData uri="http://schemas.openxmlformats.org/drawingml/2006/picture">
                <pic:pic xmlns:pic="http://schemas.openxmlformats.org/drawingml/2006/picture">
                  <pic:nvPicPr>
                    <pic:cNvPr id="1048" name="Picture 2"/>
                    <pic:cNvPicPr>
                      <a:picLocks noChangeAspect="1" noChangeArrowheads="1"/>
                    </pic:cNvPicPr>
                  </pic:nvPicPr>
                  <pic:blipFill>
                    <a:blip r:embed="rId24"/>
                    <a:stretch>
                      <a:fillRect/>
                    </a:stretch>
                  </pic:blipFill>
                  <pic:spPr>
                    <a:xfrm>
                      <a:off x="0" y="0"/>
                      <a:ext cx="6057900" cy="247650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15</w:t>
      </w:r>
      <w:r>
        <w:rPr>
          <w:rFonts w:hint="eastAsia" w:ascii="ＭＳ ゴシック" w:hAnsi="ＭＳ ゴシック" w:eastAsia="ＭＳ ゴシック"/>
          <w:sz w:val="21"/>
        </w:rPr>
        <w:t>：箕面市</w:t>
      </w:r>
      <w:r>
        <w:rPr>
          <w:rFonts w:hint="eastAsia" w:ascii="ＭＳ ゴシック" w:hAnsi="ＭＳ ゴシック" w:eastAsia="ＭＳ ゴシック"/>
          <w:sz w:val="21"/>
        </w:rPr>
        <w:t>65</w:t>
      </w:r>
      <w:r>
        <w:rPr>
          <w:rFonts w:hint="eastAsia" w:ascii="ＭＳ ゴシック" w:hAnsi="ＭＳ ゴシック" w:eastAsia="ＭＳ ゴシック"/>
          <w:sz w:val="21"/>
        </w:rPr>
        <w:t>歳以上人口に占める認知症高齢者の日常生活自立度Ⅱ以上の割合</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00" w:firstLineChars="100"/>
        <w:rPr>
          <w:rFonts w:hint="default"/>
          <w:sz w:val="20"/>
        </w:rPr>
      </w:pPr>
      <w:r>
        <w:rPr>
          <w:rFonts w:hint="eastAsia"/>
          <w:sz w:val="20"/>
        </w:rPr>
        <w:t>※各年度３月末</w:t>
      </w:r>
    </w:p>
    <w:p>
      <w:pPr>
        <w:pStyle w:val="0"/>
        <w:rPr>
          <w:rFonts w:hint="default"/>
          <w:sz w:val="20"/>
        </w:rPr>
      </w:pPr>
    </w:p>
    <w:tbl>
      <w:tblPr>
        <w:tblStyle w:val="59"/>
        <w:tblpPr w:leftFromText="142" w:rightFromText="142" w:topFromText="0" w:bottomFromText="0" w:vertAnchor="text" w:horzAnchor="text" w:tblpX="706" w:tblpY="396"/>
        <w:tblW w:w="0" w:type="auto"/>
        <w:tblLayout w:type="fixed"/>
        <w:tblLook w:firstRow="1" w:lastRow="0" w:firstColumn="1" w:lastColumn="0" w:noHBand="0" w:noVBand="1" w:val="04A0"/>
      </w:tblPr>
      <w:tblGrid>
        <w:gridCol w:w="2155"/>
        <w:gridCol w:w="6488"/>
      </w:tblGrid>
      <w:tr>
        <w:trPr/>
        <w:tc>
          <w:tcPr>
            <w:tcW w:w="2155" w:type="dxa"/>
            <w:shd w:val="clear" w:color="auto" w:themeFill="accent5" w:themeFillTint="66" w:themeFillShade="FF"/>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日常生活自立度Ⅰ</w:t>
            </w:r>
          </w:p>
        </w:tc>
        <w:tc>
          <w:tcPr>
            <w:tcW w:w="6488" w:type="dxa"/>
            <w:vAlign w:val="top"/>
          </w:tcPr>
          <w:p>
            <w:pPr>
              <w:pStyle w:val="0"/>
              <w:jc w:val="both"/>
              <w:rPr>
                <w:rFonts w:hint="default" w:ascii="ＭＳ 明朝" w:hAnsi="ＭＳ 明朝" w:eastAsia="ＭＳ 明朝"/>
              </w:rPr>
            </w:pPr>
            <w:r>
              <w:rPr>
                <w:rFonts w:hint="eastAsia" w:ascii="ＭＳ 明朝" w:hAnsi="ＭＳ 明朝" w:eastAsia="ＭＳ 明朝"/>
              </w:rPr>
              <w:t>認知症を有するが、家庭内・社会での日常生活は自立</w:t>
            </w:r>
          </w:p>
        </w:tc>
      </w:tr>
      <w:tr>
        <w:trPr/>
        <w:tc>
          <w:tcPr>
            <w:tcW w:w="2155" w:type="dxa"/>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日常生活自立度Ⅱ</w:t>
            </w:r>
          </w:p>
        </w:tc>
        <w:tc>
          <w:tcPr>
            <w:tcW w:w="6488" w:type="dxa"/>
            <w:vAlign w:val="top"/>
          </w:tcPr>
          <w:p>
            <w:pPr>
              <w:pStyle w:val="0"/>
              <w:jc w:val="both"/>
              <w:rPr>
                <w:rFonts w:hint="default" w:ascii="ＭＳ 明朝" w:hAnsi="ＭＳ 明朝" w:eastAsia="ＭＳ 明朝"/>
              </w:rPr>
            </w:pPr>
            <w:r>
              <w:rPr>
                <w:rFonts w:hint="eastAsia" w:ascii="ＭＳ 明朝" w:hAnsi="ＭＳ 明朝" w:eastAsia="ＭＳ 明朝"/>
              </w:rPr>
              <w:t>生活に支障のある症状等があるが、他者の注意があれば自立</w:t>
            </w:r>
          </w:p>
          <w:p>
            <w:pPr>
              <w:pStyle w:val="0"/>
              <w:ind w:firstLine="210" w:firstLineChars="100"/>
              <w:jc w:val="both"/>
              <w:rPr>
                <w:rFonts w:hint="default" w:ascii="ＭＳ 明朝" w:hAnsi="ＭＳ 明朝" w:eastAsia="ＭＳ 明朝"/>
              </w:rPr>
            </w:pPr>
            <w:r>
              <w:rPr>
                <w:rFonts w:hint="eastAsia" w:ascii="ＭＳ 明朝" w:hAnsi="ＭＳ 明朝" w:eastAsia="ＭＳ 明朝"/>
              </w:rPr>
              <w:t>a.</w:t>
            </w:r>
            <w:r>
              <w:rPr>
                <w:rFonts w:hint="eastAsia" w:ascii="ＭＳ 明朝" w:hAnsi="ＭＳ 明朝" w:eastAsia="ＭＳ 明朝"/>
              </w:rPr>
              <w:t>　家庭外で、上述の状態がみられる</w:t>
            </w:r>
          </w:p>
          <w:p>
            <w:pPr>
              <w:pStyle w:val="0"/>
              <w:ind w:firstLine="210" w:firstLineChars="100"/>
              <w:jc w:val="both"/>
              <w:rPr>
                <w:rFonts w:hint="default" w:ascii="ＭＳ 明朝" w:hAnsi="ＭＳ 明朝" w:eastAsia="ＭＳ 明朝"/>
              </w:rPr>
            </w:pPr>
            <w:r>
              <w:rPr>
                <w:rFonts w:hint="eastAsia" w:ascii="ＭＳ 明朝" w:hAnsi="ＭＳ 明朝" w:eastAsia="ＭＳ 明朝"/>
              </w:rPr>
              <w:t>b.</w:t>
            </w:r>
            <w:r>
              <w:rPr>
                <w:rFonts w:hint="eastAsia" w:ascii="ＭＳ 明朝" w:hAnsi="ＭＳ 明朝" w:eastAsia="ＭＳ 明朝"/>
              </w:rPr>
              <w:t>　家庭内でも、上述の状態がみられる</w:t>
            </w:r>
          </w:p>
        </w:tc>
      </w:tr>
      <w:tr>
        <w:trPr/>
        <w:tc>
          <w:tcPr>
            <w:tcW w:w="2155" w:type="dxa"/>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日常生活自立度Ⅲ</w:t>
            </w:r>
          </w:p>
        </w:tc>
        <w:tc>
          <w:tcPr>
            <w:tcW w:w="6488" w:type="dxa"/>
            <w:vAlign w:val="top"/>
          </w:tcPr>
          <w:p>
            <w:pPr>
              <w:pStyle w:val="0"/>
              <w:jc w:val="both"/>
              <w:rPr>
                <w:rFonts w:hint="default" w:ascii="ＭＳ 明朝" w:hAnsi="ＭＳ 明朝" w:eastAsia="ＭＳ 明朝"/>
              </w:rPr>
            </w:pPr>
            <w:r>
              <w:rPr>
                <w:rFonts w:hint="eastAsia" w:ascii="ＭＳ 明朝" w:hAnsi="ＭＳ 明朝" w:eastAsia="ＭＳ 明朝"/>
              </w:rPr>
              <w:t>日常生活に支障のある症状等があり、介護が必要</w:t>
            </w:r>
          </w:p>
          <w:p>
            <w:pPr>
              <w:pStyle w:val="0"/>
              <w:ind w:firstLine="210" w:firstLineChars="100"/>
              <w:jc w:val="both"/>
              <w:rPr>
                <w:rFonts w:hint="default" w:ascii="ＭＳ 明朝" w:hAnsi="ＭＳ 明朝" w:eastAsia="ＭＳ 明朝"/>
              </w:rPr>
            </w:pPr>
            <w:r>
              <w:rPr>
                <w:rFonts w:hint="eastAsia" w:ascii="ＭＳ 明朝" w:hAnsi="ＭＳ 明朝" w:eastAsia="ＭＳ 明朝"/>
              </w:rPr>
              <w:t>a.</w:t>
            </w:r>
            <w:r>
              <w:rPr>
                <w:rFonts w:hint="eastAsia" w:ascii="ＭＳ 明朝" w:hAnsi="ＭＳ 明朝" w:eastAsia="ＭＳ 明朝"/>
              </w:rPr>
              <w:t>　日中を中心として、上述の状態がみられる</w:t>
            </w:r>
          </w:p>
          <w:p>
            <w:pPr>
              <w:pStyle w:val="0"/>
              <w:ind w:firstLine="210" w:firstLineChars="100"/>
              <w:jc w:val="both"/>
              <w:rPr>
                <w:rFonts w:hint="default" w:ascii="ＭＳ 明朝" w:hAnsi="ＭＳ 明朝" w:eastAsia="ＭＳ 明朝"/>
              </w:rPr>
            </w:pPr>
            <w:r>
              <w:rPr>
                <w:rFonts w:hint="eastAsia" w:ascii="ＭＳ 明朝" w:hAnsi="ＭＳ 明朝" w:eastAsia="ＭＳ 明朝"/>
              </w:rPr>
              <w:t>b.</w:t>
            </w:r>
            <w:r>
              <w:rPr>
                <w:rFonts w:hint="eastAsia" w:ascii="ＭＳ 明朝" w:hAnsi="ＭＳ 明朝" w:eastAsia="ＭＳ 明朝"/>
              </w:rPr>
              <w:t>　夜間を中心として、上述の状態がみられる</w:t>
            </w:r>
          </w:p>
        </w:tc>
      </w:tr>
      <w:tr>
        <w:trPr/>
        <w:tc>
          <w:tcPr>
            <w:tcW w:w="2155" w:type="dxa"/>
            <w:shd w:val="clear" w:color="auto" w:themeFill="accent5" w:themeFillTint="66" w:themeFillShade="FF"/>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日常生活自立度Ⅳ</w:t>
            </w:r>
          </w:p>
        </w:tc>
        <w:tc>
          <w:tcPr>
            <w:tcW w:w="6488" w:type="dxa"/>
            <w:vAlign w:val="top"/>
          </w:tcPr>
          <w:p>
            <w:pPr>
              <w:pStyle w:val="0"/>
              <w:jc w:val="both"/>
              <w:rPr>
                <w:rFonts w:hint="default" w:ascii="ＭＳ 明朝" w:hAnsi="ＭＳ 明朝" w:eastAsia="ＭＳ 明朝"/>
              </w:rPr>
            </w:pPr>
            <w:r>
              <w:rPr>
                <w:rFonts w:hint="eastAsia" w:ascii="ＭＳ 明朝" w:hAnsi="ＭＳ 明朝" w:eastAsia="ＭＳ 明朝"/>
              </w:rPr>
              <w:t>日常生活に支障のある症状等が頻繁にあり、常時の介護が必要</w:t>
            </w:r>
          </w:p>
        </w:tc>
      </w:tr>
      <w:tr>
        <w:trPr/>
        <w:tc>
          <w:tcPr>
            <w:tcW w:w="2155" w:type="dxa"/>
            <w:shd w:val="clear" w:color="auto" w:themeFill="accent5" w:themeFillTint="66" w:themeFillShade="FF"/>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日常生活自立度Ｍ</w:t>
            </w:r>
          </w:p>
        </w:tc>
        <w:tc>
          <w:tcPr>
            <w:tcW w:w="6488" w:type="dxa"/>
            <w:vAlign w:val="top"/>
          </w:tcPr>
          <w:p>
            <w:pPr>
              <w:pStyle w:val="0"/>
              <w:jc w:val="both"/>
              <w:rPr>
                <w:rFonts w:hint="default" w:ascii="ＭＳ 明朝" w:hAnsi="ＭＳ 明朝" w:eastAsia="ＭＳ 明朝"/>
              </w:rPr>
            </w:pPr>
            <w:r>
              <w:rPr>
                <w:rFonts w:hint="eastAsia" w:ascii="ＭＳ 明朝" w:hAnsi="ＭＳ 明朝" w:eastAsia="ＭＳ 明朝"/>
              </w:rPr>
              <w:t>著しい精神症状・問題行動等がみられ、専門医療が必要</w:t>
            </w:r>
          </w:p>
        </w:tc>
      </w:tr>
    </w:tbl>
    <w:p>
      <w:pPr>
        <w:pStyle w:val="0"/>
        <w:ind w:firstLine="210" w:firstLineChars="10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16</w:t>
      </w:r>
      <w:r>
        <w:rPr>
          <w:rFonts w:hint="eastAsia" w:ascii="ＭＳ ゴシック" w:hAnsi="ＭＳ ゴシック" w:eastAsia="ＭＳ ゴシック"/>
          <w:sz w:val="21"/>
        </w:rPr>
        <w:t>：認知症高齢者の日常生活自立度判定基準（要約）</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
        <w:ind w:left="0" w:leftChars="0"/>
        <w:rPr>
          <w:rFonts w:hint="default" w:ascii="メイリオ" w:hAnsi="メイリオ" w:eastAsia="メイリオ"/>
          <w:b w:val="0"/>
          <w:sz w:val="28"/>
        </w:rPr>
      </w:pPr>
      <w:bookmarkStart w:id="29" w:name="_Toc59007761"/>
      <w:r>
        <w:rPr>
          <w:rFonts w:hint="eastAsia" w:ascii="メイリオ" w:hAnsi="メイリオ" w:eastAsia="メイリオ"/>
          <w:b w:val="0"/>
          <w:sz w:val="28"/>
        </w:rPr>
        <w:t>（５）高齢者のみの世帯の推移</w:t>
      </w:r>
      <w:bookmarkEnd w:id="29"/>
    </w:p>
    <w:p>
      <w:pPr>
        <w:pStyle w:val="0"/>
        <w:ind w:firstLine="240" w:firstLineChars="100"/>
        <w:jc w:val="both"/>
        <w:rPr>
          <w:rFonts w:hint="default"/>
        </w:rPr>
      </w:pPr>
      <w:r>
        <w:rPr>
          <w:rFonts w:hint="eastAsia"/>
        </w:rPr>
        <w:t>本市では、令和元年度</w:t>
      </w:r>
      <w:r>
        <w:rPr>
          <w:rFonts w:hint="eastAsia"/>
        </w:rPr>
        <w:t>(2019</w:t>
      </w:r>
      <w:r>
        <w:rPr>
          <w:rFonts w:hint="eastAsia"/>
        </w:rPr>
        <w:t>年度</w:t>
      </w:r>
      <w:r>
        <w:rPr>
          <w:rFonts w:hint="eastAsia"/>
        </w:rPr>
        <w:t>)</w:t>
      </w:r>
      <w:r>
        <w:rPr>
          <w:rFonts w:hint="eastAsia"/>
        </w:rPr>
        <w:t>で高齢者のみの世帯は</w:t>
      </w:r>
      <w:r>
        <w:rPr>
          <w:rFonts w:hint="eastAsia"/>
        </w:rPr>
        <w:t>1</w:t>
      </w:r>
      <w:r>
        <w:rPr>
          <w:rFonts w:hint="default"/>
        </w:rPr>
        <w:t>7,202</w:t>
      </w:r>
      <w:r>
        <w:rPr>
          <w:rFonts w:hint="eastAsia"/>
        </w:rPr>
        <w:t>世帯であり、高齢者のみの世帯が全世帯数（</w:t>
      </w:r>
      <w:r>
        <w:rPr>
          <w:rFonts w:hint="eastAsia"/>
        </w:rPr>
        <w:t>6</w:t>
      </w:r>
      <w:r>
        <w:rPr>
          <w:rFonts w:hint="default"/>
        </w:rPr>
        <w:t>1,471</w:t>
      </w:r>
      <w:r>
        <w:rPr>
          <w:rFonts w:hint="eastAsia"/>
        </w:rPr>
        <w:t>世帯）に占める割合は</w:t>
      </w:r>
      <w:r>
        <w:rPr>
          <w:rFonts w:hint="eastAsia"/>
        </w:rPr>
        <w:t>2</w:t>
      </w:r>
      <w:r>
        <w:rPr>
          <w:rFonts w:hint="default"/>
        </w:rPr>
        <w:t>8.0</w:t>
      </w:r>
      <w:r>
        <w:rPr>
          <w:rFonts w:hint="eastAsia"/>
        </w:rPr>
        <w:t>％となっており、世帯数及び構成比ともに年々増加傾向にあります。</w:t>
      </w:r>
    </w:p>
    <w:p>
      <w:pPr>
        <w:pStyle w:val="0"/>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32" behindDoc="1" locked="0" layoutInCell="1" hidden="0" allowOverlap="1">
            <wp:simplePos x="0" y="0"/>
            <wp:positionH relativeFrom="column">
              <wp:posOffset>5080</wp:posOffset>
            </wp:positionH>
            <wp:positionV relativeFrom="paragraph">
              <wp:posOffset>157480</wp:posOffset>
            </wp:positionV>
            <wp:extent cx="6177280" cy="3497580"/>
            <wp:effectExtent l="0" t="0" r="0" b="0"/>
            <wp:wrapNone/>
            <wp:docPr id="1049" name="Picture 18"/>
            <a:graphic xmlns:a="http://schemas.openxmlformats.org/drawingml/2006/main">
              <a:graphicData uri="http://schemas.openxmlformats.org/drawingml/2006/picture">
                <pic:pic xmlns:pic="http://schemas.openxmlformats.org/drawingml/2006/picture">
                  <pic:nvPicPr>
                    <pic:cNvPr id="1049" name="Picture 18"/>
                    <pic:cNvPicPr>
                      <a:picLocks noChangeAspect="1" noChangeArrowheads="1"/>
                    </pic:cNvPicPr>
                  </pic:nvPicPr>
                  <pic:blipFill>
                    <a:blip r:embed="rId25"/>
                    <a:srcRect t="4913"/>
                    <a:stretch>
                      <a:fillRect/>
                    </a:stretch>
                  </pic:blipFill>
                  <pic:spPr>
                    <a:xfrm>
                      <a:off x="0" y="0"/>
                      <a:ext cx="6177280" cy="349758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1</w:t>
      </w:r>
      <w:r>
        <w:rPr>
          <w:rFonts w:hint="default" w:ascii="ＭＳ ゴシック" w:hAnsi="ＭＳ ゴシック" w:eastAsia="ＭＳ ゴシック"/>
          <w:sz w:val="21"/>
        </w:rPr>
        <w:t>7</w:t>
      </w:r>
      <w:r>
        <w:rPr>
          <w:rFonts w:hint="eastAsia" w:ascii="ＭＳ ゴシック" w:hAnsi="ＭＳ ゴシック" w:eastAsia="ＭＳ ゴシック"/>
          <w:sz w:val="21"/>
        </w:rPr>
        <w:t>：箕面市</w:t>
      </w:r>
      <w:r>
        <w:rPr>
          <w:rFonts w:hint="default" w:ascii="ＭＳ ゴシック" w:hAnsi="ＭＳ ゴシック" w:eastAsia="ＭＳ ゴシック"/>
          <w:sz w:val="21"/>
        </w:rPr>
        <w:t>65</w:t>
      </w:r>
      <w:r>
        <w:rPr>
          <w:rFonts w:hint="default" w:ascii="ＭＳ ゴシック" w:hAnsi="ＭＳ ゴシック" w:eastAsia="ＭＳ ゴシック"/>
          <w:sz w:val="21"/>
        </w:rPr>
        <w:t>歳以上の高齢者のみの世帯数の推移</w:t>
      </w:r>
    </w:p>
    <w:p>
      <w:pPr>
        <w:pStyle w:val="0"/>
        <w:jc w:val="center"/>
        <w:rPr>
          <w:rFonts w:hint="default"/>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ind w:firstLine="200" w:firstLineChars="100"/>
        <w:rPr>
          <w:rFonts w:hint="default"/>
          <w:sz w:val="20"/>
        </w:rPr>
      </w:pPr>
      <w:r>
        <w:rPr>
          <w:rFonts w:hint="eastAsia"/>
          <w:sz w:val="20"/>
        </w:rPr>
        <w:t>※各年度３月末</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ascii="メイリオ" w:hAnsi="メイリオ" w:eastAsia="メイリオ"/>
          <w:sz w:val="28"/>
        </w:rPr>
        <w:sectPr>
          <w:pgSz w:w="11906" w:h="16838"/>
          <w:pgMar w:top="1440" w:right="1080" w:bottom="1440" w:left="1080" w:header="851" w:footer="454" w:gutter="0"/>
          <w:cols w:space="720"/>
          <w:textDirection w:val="lrTb"/>
          <w:docGrid w:type="lines" w:linePitch="360"/>
        </w:sectPr>
      </w:pPr>
    </w:p>
    <w:p>
      <w:pPr>
        <w:pStyle w:val="4"/>
        <w:ind w:left="0" w:leftChars="0"/>
        <w:rPr>
          <w:rFonts w:hint="default" w:ascii="メイリオ" w:hAnsi="メイリオ" w:eastAsia="メイリオ"/>
          <w:b w:val="0"/>
          <w:sz w:val="28"/>
        </w:rPr>
      </w:pPr>
      <w:bookmarkStart w:id="30" w:name="_Toc59007762"/>
      <w:r>
        <w:rPr>
          <w:rFonts w:hint="eastAsia" w:ascii="メイリオ" w:hAnsi="メイリオ" w:eastAsia="メイリオ"/>
          <w:b w:val="0"/>
          <w:sz w:val="28"/>
        </w:rPr>
        <w:t>（６）日常生活圏域の状況</w:t>
      </w:r>
      <w:bookmarkEnd w:id="30"/>
    </w:p>
    <w:p>
      <w:pPr>
        <w:pStyle w:val="0"/>
        <w:ind w:firstLine="240" w:firstLineChars="100"/>
        <w:jc w:val="both"/>
        <w:rPr>
          <w:rFonts w:hint="default"/>
        </w:rPr>
      </w:pPr>
      <w:r>
        <w:rPr>
          <w:rFonts w:hint="eastAsia"/>
        </w:rPr>
        <w:t>本市では、高齢者が住み慣れた地域で必要な支援を受けながら生活できるよう、第３期計画以降、身近な生活圏域に様々なサービス拠点が連携するよう市内に５つの「日常生活圏域」を設定し、国の示す地域包括ケアシステムの構築に向けた取組や事業を進めてきました。</w:t>
      </w:r>
    </w:p>
    <w:p>
      <w:pPr>
        <w:pStyle w:val="0"/>
        <w:ind w:firstLine="240" w:firstLineChars="100"/>
        <w:jc w:val="both"/>
        <w:rPr>
          <w:rFonts w:hint="default"/>
        </w:rPr>
      </w:pPr>
      <w:r>
        <w:rPr>
          <w:rFonts w:hint="eastAsia"/>
        </w:rPr>
        <w:t>第６期計画までは、この５つの日常生活圏域をふまえて、地域包括ケアシステムの構築に向けた取組や事業を展開してきました。しかし、第６期計画策定以降、各圏域の高齢者人口が１圏域あたり最大で国が示す標準的な高齢者人口（約</w:t>
      </w:r>
      <w:r>
        <w:rPr>
          <w:rFonts w:hint="default"/>
        </w:rPr>
        <w:t>6,000</w:t>
      </w:r>
      <w:r>
        <w:rPr>
          <w:rFonts w:hint="default"/>
        </w:rPr>
        <w:t>人）の</w:t>
      </w:r>
      <w:r>
        <w:rPr>
          <w:rFonts w:hint="default"/>
        </w:rPr>
        <w:t>1.5</w:t>
      </w:r>
      <w:r>
        <w:rPr>
          <w:rFonts w:hint="default"/>
        </w:rPr>
        <w:t>倍程度まで増加</w:t>
      </w:r>
    </w:p>
    <w:p>
      <w:pPr>
        <w:pStyle w:val="0"/>
        <w:jc w:val="both"/>
        <w:rPr>
          <w:rFonts w:hint="default"/>
        </w:rPr>
      </w:pPr>
      <w:r>
        <w:rPr>
          <w:rFonts w:hint="default"/>
        </w:rPr>
        <w:t>し、４か所の地域包括支援センター</w:t>
      </w:r>
      <w:r>
        <w:rPr>
          <w:rFonts w:hint="eastAsia"/>
        </w:rPr>
        <w:t>（高齢者くらしサポート）</w:t>
      </w:r>
      <w:r>
        <w:rPr>
          <w:rFonts w:hint="default"/>
        </w:rPr>
        <w:t>による支援が困難になってきました。</w:t>
      </w:r>
    </w:p>
    <w:p>
      <w:pPr>
        <w:pStyle w:val="0"/>
        <w:autoSpaceDE w:val="0"/>
        <w:autoSpaceDN w:val="0"/>
        <w:adjustRightInd w:val="0"/>
        <w:ind w:firstLine="240" w:firstLineChars="100"/>
        <w:jc w:val="both"/>
        <w:rPr>
          <w:rFonts w:hint="default"/>
          <w:color w:val="000000" w:themeColor="text1"/>
        </w:rPr>
      </w:pPr>
      <w:r>
        <w:rPr>
          <w:rFonts w:hint="eastAsia"/>
        </w:rPr>
        <w:t>そこで、令和７</w:t>
      </w:r>
      <w:r>
        <w:rPr>
          <w:rFonts w:hint="default"/>
        </w:rPr>
        <w:t>年</w:t>
      </w:r>
      <w:r>
        <w:rPr>
          <w:rFonts w:hint="default"/>
        </w:rPr>
        <w:t>(2025</w:t>
      </w:r>
      <w:r>
        <w:rPr>
          <w:rFonts w:hint="default"/>
        </w:rPr>
        <w:t>年</w:t>
      </w:r>
      <w:r>
        <w:rPr>
          <w:rFonts w:hint="default"/>
        </w:rPr>
        <w:t>)</w:t>
      </w:r>
      <w:r>
        <w:rPr>
          <w:rFonts w:hint="default"/>
        </w:rPr>
        <w:t>以降の超高齢化を見据え、</w:t>
      </w:r>
      <w:r>
        <w:rPr>
          <w:rFonts w:hint="eastAsia"/>
        </w:rPr>
        <w:t>第７期計画から、</w:t>
      </w:r>
      <w:r>
        <w:rPr>
          <w:rFonts w:hint="default"/>
        </w:rPr>
        <w:t>14</w:t>
      </w:r>
      <w:r>
        <w:rPr>
          <w:rFonts w:hint="default"/>
        </w:rPr>
        <w:t>の小学校区を日常生活圏域</w:t>
      </w:r>
      <w:r>
        <w:rPr>
          <w:rFonts w:hint="eastAsia"/>
        </w:rPr>
        <w:t>と設定し、</w:t>
      </w:r>
      <w:r>
        <w:rPr>
          <w:rFonts w:hint="eastAsia"/>
          <w:color w:val="000000" w:themeColor="text1"/>
        </w:rPr>
        <w:t>地域包括ケアシステムの中核となる機関として、５か所の「地域包括支援センター（高齢者くらしサポート）」を設置しました。</w:t>
      </w:r>
    </w:p>
    <w:p>
      <w:pPr>
        <w:pStyle w:val="0"/>
        <w:spacing w:line="240" w:lineRule="exact"/>
        <w:rPr>
          <w:rFonts w:hint="default"/>
        </w:rPr>
      </w:pPr>
    </w:p>
    <w:p>
      <w:pPr>
        <w:pStyle w:val="0"/>
        <w:ind w:firstLine="210" w:firstLineChars="10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w:t>
      </w:r>
      <w:r>
        <w:rPr>
          <w:rFonts w:hint="default" w:ascii="ＭＳ ゴシック" w:hAnsi="ＭＳ ゴシック" w:eastAsia="ＭＳ ゴシック"/>
          <w:sz w:val="21"/>
        </w:rPr>
        <w:t>8</w:t>
      </w:r>
      <w:r>
        <w:rPr>
          <w:rFonts w:hint="eastAsia" w:ascii="ＭＳ ゴシック" w:hAnsi="ＭＳ ゴシック" w:eastAsia="ＭＳ ゴシック"/>
          <w:sz w:val="21"/>
        </w:rPr>
        <w:t>：日常生活圏域の状況</w:t>
      </w:r>
    </w:p>
    <w:tbl>
      <w:tblPr>
        <w:tblStyle w:val="60"/>
        <w:tblW w:w="9846" w:type="dxa"/>
        <w:tblInd w:w="0" w:type="dxa"/>
        <w:tblLayout w:type="fixed"/>
        <w:tblLook w:firstRow="1" w:lastRow="0" w:firstColumn="1" w:lastColumn="0" w:noHBand="0" w:noVBand="1" w:val="04A0"/>
      </w:tblPr>
      <w:tblGrid>
        <w:gridCol w:w="421"/>
        <w:gridCol w:w="1842"/>
        <w:gridCol w:w="842"/>
        <w:gridCol w:w="843"/>
        <w:gridCol w:w="842"/>
        <w:gridCol w:w="843"/>
        <w:gridCol w:w="842"/>
        <w:gridCol w:w="843"/>
        <w:gridCol w:w="842"/>
        <w:gridCol w:w="843"/>
        <w:gridCol w:w="843"/>
      </w:tblGrid>
      <w:tr>
        <w:trPr>
          <w:cantSplit/>
          <w:trHeight w:val="1794" w:hRule="atLeast"/>
        </w:trPr>
        <w:tc>
          <w:tcPr>
            <w:tcW w:w="2263" w:type="dxa"/>
            <w:gridSpan w:val="2"/>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日常生活圏域</w:t>
            </w:r>
          </w:p>
        </w:tc>
        <w:tc>
          <w:tcPr>
            <w:tcW w:w="842"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総人口</w:t>
            </w:r>
          </w:p>
        </w:tc>
        <w:tc>
          <w:tcPr>
            <w:tcW w:w="843"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高齢者人口</w:t>
            </w:r>
          </w:p>
        </w:tc>
        <w:tc>
          <w:tcPr>
            <w:tcW w:w="842"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高齢化率</w:t>
            </w:r>
          </w:p>
        </w:tc>
        <w:tc>
          <w:tcPr>
            <w:tcW w:w="843"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後期高齢者人口</w:t>
            </w:r>
          </w:p>
        </w:tc>
        <w:tc>
          <w:tcPr>
            <w:tcW w:w="842"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後期高齢化率</w:t>
            </w:r>
          </w:p>
        </w:tc>
        <w:tc>
          <w:tcPr>
            <w:tcW w:w="843" w:type="dxa"/>
            <w:shd w:val="clear" w:color="auto" w:themeFill="accent5" w:themeFillTint="66" w:themeFillShade="FF"/>
            <w:textDirection w:val="tbRlV"/>
            <w:vAlign w:val="center"/>
          </w:tcPr>
          <w:p>
            <w:pPr>
              <w:pStyle w:val="0"/>
              <w:spacing w:line="240" w:lineRule="exact"/>
              <w:ind w:left="113" w:right="113"/>
              <w:jc w:val="both"/>
              <w:rPr>
                <w:rFonts w:hint="default" w:ascii="ＭＳ ゴシック" w:hAnsi="ＭＳ ゴシック" w:eastAsia="ＭＳ ゴシック"/>
              </w:rPr>
            </w:pPr>
            <w:r>
              <w:rPr>
                <w:rFonts w:hint="eastAsia" w:ascii="ＭＳ ゴシック" w:hAnsi="ＭＳ ゴシック" w:eastAsia="ＭＳ ゴシック"/>
              </w:rPr>
              <w:t>要介護等認定者数</w:t>
            </w:r>
          </w:p>
        </w:tc>
        <w:tc>
          <w:tcPr>
            <w:tcW w:w="842"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認定率</w:t>
            </w:r>
          </w:p>
        </w:tc>
        <w:tc>
          <w:tcPr>
            <w:tcW w:w="843" w:type="dxa"/>
            <w:shd w:val="clear" w:color="auto" w:themeFill="accent5" w:themeFillTint="66" w:themeFillShade="FF"/>
            <w:textDirection w:val="tbRlV"/>
            <w:vAlign w:val="center"/>
          </w:tcPr>
          <w:p>
            <w:pPr>
              <w:pStyle w:val="0"/>
              <w:spacing w:line="280" w:lineRule="exact"/>
              <w:ind w:left="113" w:right="113"/>
              <w:jc w:val="both"/>
              <w:rPr>
                <w:rFonts w:hint="default" w:ascii="ＭＳ ゴシック" w:hAnsi="ＭＳ ゴシック" w:eastAsia="ＭＳ ゴシック"/>
              </w:rPr>
            </w:pPr>
            <w:r>
              <w:rPr>
                <w:rFonts w:hint="eastAsia" w:ascii="ＭＳ ゴシック" w:hAnsi="ＭＳ ゴシック" w:eastAsia="ＭＳ ゴシック"/>
              </w:rPr>
              <w:t>認知症自立度Ⅱ以上認定者数</w:t>
            </w:r>
          </w:p>
        </w:tc>
        <w:tc>
          <w:tcPr>
            <w:tcW w:w="843" w:type="dxa"/>
            <w:shd w:val="clear" w:color="auto" w:themeFill="accent5" w:themeFillTint="66" w:themeFillShade="FF"/>
            <w:textDirection w:val="tbRlV"/>
            <w:vAlign w:val="center"/>
          </w:tcPr>
          <w:p>
            <w:pPr>
              <w:pStyle w:val="0"/>
              <w:spacing w:line="200" w:lineRule="exact"/>
              <w:ind w:left="113" w:right="113"/>
              <w:jc w:val="both"/>
              <w:rPr>
                <w:rFonts w:hint="default" w:ascii="ＭＳ ゴシック" w:hAnsi="ＭＳ ゴシック" w:eastAsia="ＭＳ ゴシック"/>
              </w:rPr>
            </w:pPr>
            <w:r>
              <w:rPr>
                <w:rFonts w:hint="eastAsia" w:ascii="ＭＳ ゴシック" w:hAnsi="ＭＳ ゴシック" w:eastAsia="ＭＳ ゴシック"/>
              </w:rPr>
              <w:t>高齢者に占める認知症自立度Ⅱ以上の割合</w:t>
            </w:r>
          </w:p>
        </w:tc>
      </w:tr>
      <w:tr>
        <w:trPr>
          <w:trHeight w:val="60" w:hRule="atLeast"/>
        </w:trPr>
        <w:tc>
          <w:tcPr>
            <w:tcW w:w="2263" w:type="dxa"/>
            <w:gridSpan w:val="2"/>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Ａ</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Ｂ</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Ｂ</w:t>
            </w:r>
            <w:r>
              <w:rPr>
                <w:rFonts w:hint="eastAsia" w:ascii="ＭＳ ゴシック" w:hAnsi="ＭＳ ゴシック" w:eastAsia="ＭＳ ゴシック"/>
              </w:rPr>
              <w:t>/</w:t>
            </w:r>
            <w:r>
              <w:rPr>
                <w:rFonts w:hint="eastAsia" w:ascii="ＭＳ ゴシック" w:hAnsi="ＭＳ ゴシック" w:eastAsia="ＭＳ ゴシック"/>
              </w:rPr>
              <w:t>Ａ</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Ｃ</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Ｃ</w:t>
            </w:r>
            <w:r>
              <w:rPr>
                <w:rFonts w:hint="eastAsia" w:ascii="ＭＳ ゴシック" w:hAnsi="ＭＳ ゴシック" w:eastAsia="ＭＳ ゴシック"/>
              </w:rPr>
              <w:t>/</w:t>
            </w:r>
            <w:r>
              <w:rPr>
                <w:rFonts w:hint="eastAsia" w:ascii="ＭＳ ゴシック" w:hAnsi="ＭＳ ゴシック" w:eastAsia="ＭＳ ゴシック"/>
              </w:rPr>
              <w:t>Ａ</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Ｄ</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Ｄ</w:t>
            </w:r>
            <w:r>
              <w:rPr>
                <w:rFonts w:hint="eastAsia" w:ascii="ＭＳ ゴシック" w:hAnsi="ＭＳ ゴシック" w:eastAsia="ＭＳ ゴシック"/>
              </w:rPr>
              <w:t>/</w:t>
            </w:r>
            <w:r>
              <w:rPr>
                <w:rFonts w:hint="eastAsia" w:ascii="ＭＳ ゴシック" w:hAnsi="ＭＳ ゴシック" w:eastAsia="ＭＳ ゴシック"/>
              </w:rPr>
              <w:t>Ｂ</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Ｅ</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Ｅ</w:t>
            </w:r>
            <w:r>
              <w:rPr>
                <w:rFonts w:hint="eastAsia" w:ascii="ＭＳ ゴシック" w:hAnsi="ＭＳ ゴシック" w:eastAsia="ＭＳ ゴシック"/>
              </w:rPr>
              <w:t>/</w:t>
            </w:r>
            <w:r>
              <w:rPr>
                <w:rFonts w:hint="eastAsia" w:ascii="ＭＳ ゴシック" w:hAnsi="ＭＳ ゴシック" w:eastAsia="ＭＳ ゴシック"/>
              </w:rPr>
              <w:t>Ｂ</w:t>
            </w:r>
          </w:p>
        </w:tc>
      </w:tr>
      <w:tr>
        <w:trPr>
          <w:trHeight w:val="60" w:hRule="atLeast"/>
        </w:trPr>
        <w:tc>
          <w:tcPr>
            <w:tcW w:w="2263"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人</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人</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ind w:left="-1" w:leftChars="-44" w:right="-182" w:rightChars="-76" w:hanging="105" w:hangingChars="5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人</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ind w:left="-1" w:leftChars="-44" w:right="-185" w:rightChars="-77" w:hanging="105" w:hangingChars="5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人</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ind w:left="2" w:leftChars="-43" w:right="-185" w:rightChars="-77" w:hanging="105" w:hangingChars="50"/>
              <w:jc w:val="center"/>
              <w:rPr>
                <w:rFonts w:hint="default" w:ascii="ＭＳ ゴシック" w:hAnsi="ＭＳ ゴシック" w:eastAsia="ＭＳ ゴシック"/>
              </w:rPr>
            </w:pPr>
            <w:r>
              <w:rPr>
                <w:rFonts w:hint="eastAsia" w:ascii="ＭＳ ゴシック" w:hAnsi="ＭＳ ゴシック" w:eastAsia="ＭＳ ゴシック"/>
              </w:rPr>
              <w:t>（％）</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jc w:val="center"/>
              <w:rPr>
                <w:rFonts w:hint="default" w:ascii="ＭＳ ゴシック" w:hAnsi="ＭＳ ゴシック" w:eastAsia="ＭＳ ゴシック"/>
              </w:rPr>
            </w:pPr>
            <w:r>
              <w:rPr>
                <w:rFonts w:hint="eastAsia" w:ascii="ＭＳ ゴシック" w:hAnsi="ＭＳ ゴシック" w:eastAsia="ＭＳ ゴシック"/>
              </w:rPr>
              <w:t>人</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240" w:lineRule="exact"/>
              <w:ind w:left="0" w:leftChars="-43" w:right="-175" w:rightChars="-73" w:hanging="103" w:hangingChars="49"/>
              <w:jc w:val="center"/>
              <w:rPr>
                <w:rFonts w:hint="default" w:ascii="ＭＳ ゴシック" w:hAnsi="ＭＳ ゴシック" w:eastAsia="ＭＳ ゴシック"/>
              </w:rPr>
            </w:pPr>
            <w:r>
              <w:rPr>
                <w:rFonts w:hint="eastAsia" w:ascii="ＭＳ ゴシック" w:hAnsi="ＭＳ ゴシック" w:eastAsia="ＭＳ ゴシック"/>
              </w:rPr>
              <w:t>（％）</w:t>
            </w:r>
          </w:p>
        </w:tc>
      </w:tr>
      <w:tr>
        <w:trPr/>
        <w:tc>
          <w:tcPr>
            <w:tcW w:w="2263"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西部</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23,899</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6,738</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28.2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3,642</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15.2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1,184</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17.6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851</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12.6 </w:t>
            </w:r>
          </w:p>
        </w:tc>
      </w:tr>
      <w:tr>
        <w:trPr/>
        <w:tc>
          <w:tcPr>
            <w:tcW w:w="421"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箕面小学校</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10,170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2,888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28.4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1,518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14.9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475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16.4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331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11.5 </w:t>
            </w:r>
          </w:p>
        </w:tc>
      </w:tr>
      <w:tr>
        <w:trPr/>
        <w:tc>
          <w:tcPr>
            <w:tcW w:w="421" w:type="dxa"/>
            <w:vMerge w:val="continue"/>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西小学校</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13,729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3,850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28.0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2,124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15.5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709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18.4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520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13.5 </w:t>
            </w:r>
          </w:p>
        </w:tc>
      </w:tr>
      <w:tr>
        <w:trPr/>
        <w:tc>
          <w:tcPr>
            <w:tcW w:w="2263"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北部・西南</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27,788</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6,899</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24.8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3,567</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12.8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1,139</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16.5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795</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11.5 </w:t>
            </w:r>
          </w:p>
        </w:tc>
      </w:tr>
      <w:tr>
        <w:trPr/>
        <w:tc>
          <w:tcPr>
            <w:tcW w:w="421"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right="-48" w:rightChars="-20"/>
              <w:rPr>
                <w:rFonts w:hint="default" w:ascii="ＭＳ ゴシック" w:hAnsi="ＭＳ ゴシック" w:eastAsia="ＭＳ ゴシック"/>
              </w:rPr>
            </w:pPr>
          </w:p>
        </w:tc>
        <w:tc>
          <w:tcPr>
            <w:tcW w:w="1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止々呂美小学校</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4,833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348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7.2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154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3.2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53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15.2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42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12.1 </w:t>
            </w:r>
          </w:p>
        </w:tc>
      </w:tr>
      <w:tr>
        <w:trPr/>
        <w:tc>
          <w:tcPr>
            <w:tcW w:w="421"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南小学校</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10,050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3,003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29.9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1,573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15.7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532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17.7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367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12.2 </w:t>
            </w:r>
          </w:p>
        </w:tc>
      </w:tr>
      <w:tr>
        <w:trPr/>
        <w:tc>
          <w:tcPr>
            <w:tcW w:w="421" w:type="dxa"/>
            <w:vMerge w:val="continue"/>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西南小学校</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12,905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3,548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27.5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1,840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14.3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554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15.6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386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10.9 </w:t>
            </w:r>
          </w:p>
        </w:tc>
      </w:tr>
      <w:tr>
        <w:trPr/>
        <w:tc>
          <w:tcPr>
            <w:tcW w:w="2263"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中西部</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28,150</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7,447</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26.5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3,974</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14.1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1,197</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16.1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836</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11.2 </w:t>
            </w:r>
          </w:p>
        </w:tc>
      </w:tr>
      <w:tr>
        <w:trPr/>
        <w:tc>
          <w:tcPr>
            <w:tcW w:w="421"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rPr>
                <w:rFonts w:hint="default" w:ascii="ＭＳ ゴシック" w:hAnsi="ＭＳ ゴシック" w:eastAsia="ＭＳ ゴシック"/>
              </w:rPr>
            </w:pPr>
          </w:p>
        </w:tc>
        <w:tc>
          <w:tcPr>
            <w:tcW w:w="1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萱野小学校</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11,381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2,800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24.6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1,463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12.9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414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14.8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296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10.6 </w:t>
            </w:r>
          </w:p>
        </w:tc>
      </w:tr>
      <w:tr>
        <w:trPr/>
        <w:tc>
          <w:tcPr>
            <w:tcW w:w="421"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北小学校</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6,062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1,948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32.1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1,080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17.8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344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17.7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228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11.7 </w:t>
            </w:r>
          </w:p>
        </w:tc>
      </w:tr>
      <w:tr>
        <w:trPr/>
        <w:tc>
          <w:tcPr>
            <w:tcW w:w="421" w:type="dxa"/>
            <w:vMerge w:val="continue"/>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中小学校</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10,707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2,699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25.2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1,431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13.4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439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16.3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312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11.6 </w:t>
            </w:r>
          </w:p>
        </w:tc>
      </w:tr>
      <w:tr>
        <w:trPr/>
        <w:tc>
          <w:tcPr>
            <w:tcW w:w="2263"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中東部</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32,658</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7,339</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22.5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3,568</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10.9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1,026</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14.0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747</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10.2 </w:t>
            </w:r>
          </w:p>
        </w:tc>
      </w:tr>
      <w:tr>
        <w:trPr/>
        <w:tc>
          <w:tcPr>
            <w:tcW w:w="421"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萱野北小学校</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5,447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1,707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31.3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840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15.4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217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12.7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148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8.7 </w:t>
            </w:r>
          </w:p>
        </w:tc>
      </w:tr>
      <w:tr>
        <w:trPr/>
        <w:tc>
          <w:tcPr>
            <w:tcW w:w="421"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萱野東小学校</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13,420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3,194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23.8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1,590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11.8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477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14.9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359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11.2 </w:t>
            </w:r>
          </w:p>
        </w:tc>
      </w:tr>
      <w:tr>
        <w:trPr/>
        <w:tc>
          <w:tcPr>
            <w:tcW w:w="421" w:type="dxa"/>
            <w:vMerge w:val="continue"/>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豊川南小学校</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13,791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2,438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17.7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1,138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8.3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332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13.6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240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9.8 </w:t>
            </w:r>
          </w:p>
        </w:tc>
      </w:tr>
      <w:tr>
        <w:trPr/>
        <w:tc>
          <w:tcPr>
            <w:tcW w:w="2263"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東部</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25,878</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6,427</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24.8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3,317</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12.8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830</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12.9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568</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8.8 </w:t>
            </w:r>
          </w:p>
        </w:tc>
      </w:tr>
      <w:tr>
        <w:trPr/>
        <w:tc>
          <w:tcPr>
            <w:tcW w:w="421"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p>
        </w:tc>
        <w:tc>
          <w:tcPr>
            <w:tcW w:w="1842"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東小学校</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10,567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3,519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33.3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1,798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17.0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441 </w:t>
            </w:r>
          </w:p>
        </w:tc>
        <w:tc>
          <w:tcPr>
            <w:tcW w:w="842"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12.5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295 </w:t>
            </w:r>
          </w:p>
        </w:tc>
        <w:tc>
          <w:tcPr>
            <w:tcW w:w="843"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sz w:val="16"/>
              </w:rPr>
            </w:pPr>
            <w:r>
              <w:rPr>
                <w:rFonts w:hint="default" w:ascii="ＭＳ 明朝" w:hAnsi="ＭＳ 明朝" w:eastAsia="ＭＳ 明朝"/>
                <w:sz w:val="16"/>
              </w:rPr>
              <w:t xml:space="preserve">8.4 </w:t>
            </w:r>
          </w:p>
        </w:tc>
      </w:tr>
      <w:tr>
        <w:trPr/>
        <w:tc>
          <w:tcPr>
            <w:tcW w:w="421"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rPr>
            </w:pPr>
          </w:p>
        </w:tc>
        <w:tc>
          <w:tcPr>
            <w:tcW w:w="1842"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豊川北小学校</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9,622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2,728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28.4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1,476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15.3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365 </w:t>
            </w:r>
          </w:p>
        </w:tc>
        <w:tc>
          <w:tcPr>
            <w:tcW w:w="842"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13.4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257 </w:t>
            </w:r>
          </w:p>
        </w:tc>
        <w:tc>
          <w:tcPr>
            <w:tcW w:w="843"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9.4 </w:t>
            </w:r>
          </w:p>
        </w:tc>
      </w:tr>
      <w:tr>
        <w:trPr/>
        <w:tc>
          <w:tcPr>
            <w:tcW w:w="421" w:type="dxa"/>
            <w:vMerge w:val="continue"/>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rPr>
            </w:pPr>
          </w:p>
        </w:tc>
        <w:tc>
          <w:tcPr>
            <w:tcW w:w="1842" w:type="dxa"/>
            <w:tcBorders>
              <w:top w:val="dotted"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spacing w:line="300" w:lineRule="exact"/>
              <w:ind w:left="80"/>
              <w:rPr>
                <w:rFonts w:hint="default" w:ascii="ＭＳ ゴシック" w:hAnsi="ＭＳ ゴシック" w:eastAsia="ＭＳ ゴシック"/>
              </w:rPr>
            </w:pPr>
            <w:r>
              <w:rPr>
                <w:rFonts w:hint="eastAsia" w:ascii="ＭＳ ゴシック" w:hAnsi="ＭＳ ゴシック" w:eastAsia="ＭＳ ゴシック"/>
              </w:rPr>
              <w:t>彩都の丘小学校</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5,689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180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3.2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43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0.8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24 </w:t>
            </w:r>
          </w:p>
        </w:tc>
        <w:tc>
          <w:tcPr>
            <w:tcW w:w="842"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13.3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16 </w:t>
            </w:r>
          </w:p>
        </w:tc>
        <w:tc>
          <w:tcPr>
            <w:tcW w:w="843" w:type="dxa"/>
            <w:tcBorders>
              <w:top w:val="dotted"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8.9 </w:t>
            </w:r>
          </w:p>
        </w:tc>
      </w:tr>
      <w:tr>
        <w:trPr/>
        <w:tc>
          <w:tcPr>
            <w:tcW w:w="2263" w:type="dxa"/>
            <w:gridSpan w:val="2"/>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center"/>
          </w:tcPr>
          <w:p>
            <w:pPr>
              <w:pStyle w:val="0"/>
              <w:spacing w:line="300" w:lineRule="exact"/>
              <w:jc w:val="center"/>
              <w:rPr>
                <w:rFonts w:hint="default" w:ascii="ＭＳ ゴシック" w:hAnsi="ＭＳ ゴシック" w:eastAsia="ＭＳ ゴシック"/>
              </w:rPr>
            </w:pPr>
            <w:r>
              <w:rPr>
                <w:rFonts w:hint="eastAsia" w:ascii="ＭＳ ゴシック" w:hAnsi="ＭＳ ゴシック" w:eastAsia="ＭＳ ゴシック"/>
              </w:rPr>
              <w:t>全市</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138,373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34,850 </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25.2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18,068 </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13.1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5,376 </w:t>
            </w:r>
          </w:p>
        </w:tc>
        <w:tc>
          <w:tcPr>
            <w:tcW w:w="84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15.4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3,797 </w:t>
            </w:r>
          </w:p>
        </w:tc>
        <w:tc>
          <w:tcPr>
            <w:tcW w:w="84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300" w:lineRule="exact"/>
              <w:jc w:val="right"/>
              <w:rPr>
                <w:rFonts w:hint="default" w:ascii="ＭＳ 明朝" w:hAnsi="ＭＳ 明朝" w:eastAsia="ＭＳ 明朝"/>
                <w:sz w:val="16"/>
              </w:rPr>
            </w:pPr>
            <w:r>
              <w:rPr>
                <w:rFonts w:hint="default" w:ascii="ＭＳ 明朝" w:hAnsi="ＭＳ 明朝" w:eastAsia="ＭＳ 明朝"/>
                <w:sz w:val="16"/>
              </w:rPr>
              <w:t xml:space="preserve">10.9 </w:t>
            </w:r>
          </w:p>
        </w:tc>
      </w:tr>
    </w:tbl>
    <w:p>
      <w:pPr>
        <w:pStyle w:val="0"/>
        <w:ind w:firstLine="200" w:firstLineChars="100"/>
        <w:rPr>
          <w:rFonts w:hint="default"/>
          <w:sz w:val="20"/>
        </w:rPr>
      </w:pPr>
      <w:r>
        <w:rPr>
          <w:rFonts w:hint="eastAsia"/>
          <w:sz w:val="20"/>
        </w:rPr>
        <w:t>※令和２</w:t>
      </w:r>
      <w:r>
        <w:rPr>
          <w:rFonts w:hint="default"/>
          <w:sz w:val="20"/>
        </w:rPr>
        <w:t>年</w:t>
      </w:r>
      <w:r>
        <w:rPr>
          <w:rFonts w:hint="eastAsia"/>
          <w:sz w:val="20"/>
        </w:rPr>
        <w:t>(2020</w:t>
      </w:r>
      <w:r>
        <w:rPr>
          <w:rFonts w:hint="eastAsia"/>
          <w:sz w:val="20"/>
        </w:rPr>
        <w:t>年</w:t>
      </w:r>
      <w:r>
        <w:rPr>
          <w:rFonts w:hint="eastAsia"/>
          <w:sz w:val="20"/>
        </w:rPr>
        <w:t>)</w:t>
      </w:r>
      <w:r>
        <w:rPr>
          <w:rFonts w:hint="eastAsia"/>
          <w:sz w:val="20"/>
        </w:rPr>
        <w:t>４</w:t>
      </w:r>
      <w:r>
        <w:rPr>
          <w:rFonts w:hint="default"/>
          <w:sz w:val="20"/>
        </w:rPr>
        <w:t>月</w:t>
      </w:r>
      <w:r>
        <w:rPr>
          <w:rFonts w:hint="eastAsia"/>
          <w:sz w:val="20"/>
        </w:rPr>
        <w:t>１</w:t>
      </w:r>
      <w:r>
        <w:rPr>
          <w:rFonts w:hint="default"/>
          <w:sz w:val="20"/>
        </w:rPr>
        <w:t>日</w:t>
      </w:r>
    </w:p>
    <w:p>
      <w:pPr>
        <w:rPr>
          <w:rFonts w:hint="default"/>
        </w:rPr>
        <w:sectPr>
          <w:pgSz w:w="11906" w:h="16838"/>
          <w:pgMar w:top="1440" w:right="1077" w:bottom="907" w:left="1077" w:header="851" w:footer="454" w:gutter="0"/>
          <w:cols w:space="720"/>
          <w:textDirection w:val="lrTb"/>
          <w:docGrid w:type="lines" w:linePitch="360"/>
        </w:sect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19</w:t>
      </w:r>
      <w:r>
        <w:rPr>
          <w:rFonts w:hint="eastAsia" w:ascii="ＭＳ ゴシック" w:hAnsi="ＭＳ ゴシック" w:eastAsia="ＭＳ ゴシック"/>
          <w:sz w:val="21"/>
        </w:rPr>
        <w:t>：地域包括支援センターの名称と担当区域</w:t>
      </w:r>
    </w:p>
    <w:tbl>
      <w:tblPr>
        <w:tblStyle w:val="60"/>
        <w:tblW w:w="9776" w:type="dxa"/>
        <w:tblInd w:w="0" w:type="dxa"/>
        <w:tblLayout w:type="fixed"/>
        <w:tblLook w:firstRow="1" w:lastRow="0" w:firstColumn="1" w:lastColumn="0" w:noHBand="0" w:noVBand="1" w:val="04A0"/>
      </w:tblPr>
      <w:tblGrid>
        <w:gridCol w:w="4188"/>
        <w:gridCol w:w="5588"/>
      </w:tblGrid>
      <w:tr>
        <w:trPr>
          <w:trHeight w:val="336" w:hRule="atLeast"/>
        </w:trPr>
        <w:tc>
          <w:tcPr>
            <w:tcW w:w="4188" w:type="dxa"/>
            <w:shd w:val="clear" w:color="auto" w:themeFill="accent5" w:themeFillTint="66" w:themeFillShade="FF"/>
            <w:vAlign w:val="center"/>
          </w:tcPr>
          <w:p>
            <w:pPr>
              <w:pStyle w:val="0"/>
              <w:ind w:left="811" w:hanging="811"/>
              <w:jc w:val="center"/>
              <w:rPr>
                <w:rFonts w:hint="default" w:ascii="ＭＳ ゴシック" w:hAnsi="ＭＳ ゴシック" w:eastAsia="ＭＳ ゴシック"/>
              </w:rPr>
            </w:pPr>
            <w:r>
              <w:rPr>
                <w:rFonts w:hint="eastAsia" w:ascii="ＭＳ ゴシック" w:hAnsi="ＭＳ ゴシック" w:eastAsia="ＭＳ ゴシック"/>
              </w:rPr>
              <w:t>地域包括支援センター名</w:t>
            </w:r>
          </w:p>
        </w:tc>
        <w:tc>
          <w:tcPr>
            <w:tcW w:w="5588" w:type="dxa"/>
            <w:shd w:val="clear" w:color="auto" w:themeFill="accent5" w:themeFillTint="66" w:themeFillShade="FF"/>
            <w:vAlign w:val="center"/>
          </w:tcPr>
          <w:p>
            <w:pPr>
              <w:pStyle w:val="0"/>
              <w:ind w:left="811" w:hanging="811"/>
              <w:jc w:val="center"/>
              <w:rPr>
                <w:rFonts w:hint="default" w:ascii="ＭＳ ゴシック" w:hAnsi="ＭＳ ゴシック" w:eastAsia="ＭＳ ゴシック"/>
              </w:rPr>
            </w:pPr>
            <w:r>
              <w:rPr>
                <w:rFonts w:hint="eastAsia" w:ascii="ＭＳ ゴシック" w:hAnsi="ＭＳ ゴシック" w:eastAsia="ＭＳ ゴシック"/>
              </w:rPr>
              <w:t>担当区域（校区名）</w:t>
            </w:r>
          </w:p>
        </w:tc>
      </w:tr>
      <w:tr>
        <w:trPr/>
        <w:tc>
          <w:tcPr>
            <w:tcW w:w="4188" w:type="dxa"/>
            <w:shd w:val="clear" w:color="auto" w:fill="BDD6EE"/>
            <w:vAlign w:val="center"/>
          </w:tcPr>
          <w:p>
            <w:pPr>
              <w:pStyle w:val="0"/>
              <w:ind w:left="811" w:hanging="811"/>
              <w:jc w:val="both"/>
              <w:rPr>
                <w:rFonts w:hint="default" w:ascii="ＭＳ ゴシック" w:hAnsi="ＭＳ ゴシック" w:eastAsia="ＭＳ ゴシック"/>
              </w:rPr>
            </w:pPr>
            <w:r>
              <w:rPr>
                <w:rFonts w:hint="eastAsia" w:ascii="ＭＳ ゴシック" w:hAnsi="ＭＳ ゴシック" w:eastAsia="ＭＳ ゴシック"/>
              </w:rPr>
              <w:t>箕面市西部地域包括支援センター</w:t>
            </w:r>
          </w:p>
        </w:tc>
        <w:tc>
          <w:tcPr>
            <w:tcW w:w="5588" w:type="dxa"/>
            <w:vAlign w:val="center"/>
          </w:tcPr>
          <w:p>
            <w:pPr>
              <w:pStyle w:val="0"/>
              <w:ind w:left="811" w:hanging="811"/>
              <w:jc w:val="both"/>
              <w:rPr>
                <w:rFonts w:hint="default" w:ascii="ＭＳ 明朝" w:hAnsi="ＭＳ 明朝" w:eastAsia="ＭＳ 明朝"/>
              </w:rPr>
            </w:pPr>
            <w:r>
              <w:rPr>
                <w:rFonts w:hint="eastAsia" w:ascii="ＭＳ 明朝" w:hAnsi="ＭＳ 明朝" w:eastAsia="ＭＳ 明朝"/>
              </w:rPr>
              <w:t>箕面小学校、西小学校</w:t>
            </w:r>
          </w:p>
        </w:tc>
      </w:tr>
      <w:tr>
        <w:trPr/>
        <w:tc>
          <w:tcPr>
            <w:tcW w:w="4188" w:type="dxa"/>
            <w:shd w:val="clear" w:color="auto" w:fill="BDD6EE"/>
            <w:vAlign w:val="center"/>
          </w:tcPr>
          <w:p>
            <w:pPr>
              <w:pStyle w:val="0"/>
              <w:ind w:left="811" w:hanging="811"/>
              <w:jc w:val="both"/>
              <w:rPr>
                <w:rFonts w:hint="default" w:ascii="ＭＳ ゴシック" w:hAnsi="ＭＳ ゴシック" w:eastAsia="ＭＳ ゴシック"/>
              </w:rPr>
            </w:pPr>
            <w:r>
              <w:rPr>
                <w:rFonts w:hint="eastAsia" w:ascii="ＭＳ ゴシック" w:hAnsi="ＭＳ ゴシック" w:eastAsia="ＭＳ ゴシック"/>
              </w:rPr>
              <w:t>箕面市北部・西南地域包括支援センター</w:t>
            </w:r>
          </w:p>
        </w:tc>
        <w:tc>
          <w:tcPr>
            <w:tcW w:w="5588" w:type="dxa"/>
            <w:vAlign w:val="center"/>
          </w:tcPr>
          <w:p>
            <w:pPr>
              <w:pStyle w:val="0"/>
              <w:ind w:left="811" w:hanging="811"/>
              <w:jc w:val="both"/>
              <w:rPr>
                <w:rFonts w:hint="default" w:ascii="ＭＳ 明朝" w:hAnsi="ＭＳ 明朝" w:eastAsia="ＭＳ 明朝"/>
              </w:rPr>
            </w:pPr>
            <w:r>
              <w:rPr>
                <w:rFonts w:hint="eastAsia" w:ascii="ＭＳ 明朝" w:hAnsi="ＭＳ 明朝" w:eastAsia="ＭＳ 明朝"/>
              </w:rPr>
              <w:t>止々呂美小学校、南小学校、西南小学校</w:t>
            </w:r>
          </w:p>
        </w:tc>
      </w:tr>
      <w:tr>
        <w:trPr/>
        <w:tc>
          <w:tcPr>
            <w:tcW w:w="4188" w:type="dxa"/>
            <w:shd w:val="clear" w:color="auto" w:fill="BDD6EE"/>
            <w:vAlign w:val="center"/>
          </w:tcPr>
          <w:p>
            <w:pPr>
              <w:pStyle w:val="0"/>
              <w:ind w:left="811" w:hanging="811"/>
              <w:jc w:val="both"/>
              <w:rPr>
                <w:rFonts w:hint="default" w:ascii="ＭＳ ゴシック" w:hAnsi="ＭＳ ゴシック" w:eastAsia="ＭＳ ゴシック"/>
              </w:rPr>
            </w:pPr>
            <w:r>
              <w:rPr>
                <w:rFonts w:hint="eastAsia" w:ascii="ＭＳ ゴシック" w:hAnsi="ＭＳ ゴシック" w:eastAsia="ＭＳ ゴシック"/>
              </w:rPr>
              <w:t>箕面市中西部地域包括支援センター</w:t>
            </w:r>
          </w:p>
        </w:tc>
        <w:tc>
          <w:tcPr>
            <w:tcW w:w="5588" w:type="dxa"/>
            <w:vAlign w:val="center"/>
          </w:tcPr>
          <w:p>
            <w:pPr>
              <w:pStyle w:val="0"/>
              <w:ind w:left="811" w:hanging="811"/>
              <w:jc w:val="both"/>
              <w:rPr>
                <w:rFonts w:hint="default"/>
              </w:rPr>
            </w:pPr>
            <w:r>
              <w:rPr>
                <w:rFonts w:hint="eastAsia" w:ascii="ＭＳ 明朝" w:hAnsi="ＭＳ 明朝" w:eastAsia="ＭＳ 明朝"/>
              </w:rPr>
              <w:t>萱野小学校、北小学校、中小学校</w:t>
            </w:r>
          </w:p>
        </w:tc>
      </w:tr>
      <w:tr>
        <w:trPr/>
        <w:tc>
          <w:tcPr>
            <w:tcW w:w="4188" w:type="dxa"/>
            <w:shd w:val="clear" w:color="auto" w:fill="BDD6EE"/>
            <w:vAlign w:val="center"/>
          </w:tcPr>
          <w:p>
            <w:pPr>
              <w:pStyle w:val="0"/>
              <w:ind w:left="811" w:hanging="811"/>
              <w:jc w:val="both"/>
              <w:rPr>
                <w:rFonts w:hint="default" w:ascii="ＭＳ ゴシック" w:hAnsi="ＭＳ ゴシック" w:eastAsia="ＭＳ ゴシック"/>
              </w:rPr>
            </w:pPr>
            <w:r>
              <w:rPr>
                <w:rFonts w:hint="eastAsia" w:ascii="ＭＳ ゴシック" w:hAnsi="ＭＳ ゴシック" w:eastAsia="ＭＳ ゴシック"/>
              </w:rPr>
              <w:t>箕面市中東部地域包括支援センター</w:t>
            </w:r>
          </w:p>
        </w:tc>
        <w:tc>
          <w:tcPr>
            <w:tcW w:w="5588" w:type="dxa"/>
            <w:vAlign w:val="center"/>
          </w:tcPr>
          <w:p>
            <w:pPr>
              <w:pStyle w:val="0"/>
              <w:ind w:left="811" w:hanging="811"/>
              <w:jc w:val="both"/>
              <w:rPr>
                <w:rFonts w:hint="default" w:ascii="ＭＳ 明朝" w:hAnsi="ＭＳ 明朝" w:eastAsia="ＭＳ 明朝"/>
              </w:rPr>
            </w:pPr>
            <w:r>
              <w:rPr>
                <w:rFonts w:hint="eastAsia" w:ascii="ＭＳ 明朝" w:hAnsi="ＭＳ 明朝" w:eastAsia="ＭＳ 明朝"/>
              </w:rPr>
              <w:t>萱野北小学校、萱野東小学校、豊川南小学校</w:t>
            </w:r>
          </w:p>
        </w:tc>
      </w:tr>
      <w:tr>
        <w:trPr/>
        <w:tc>
          <w:tcPr>
            <w:tcW w:w="4188" w:type="dxa"/>
            <w:shd w:val="clear" w:color="auto" w:fill="BDD6EE"/>
            <w:vAlign w:val="center"/>
          </w:tcPr>
          <w:p>
            <w:pPr>
              <w:pStyle w:val="0"/>
              <w:ind w:left="811" w:hanging="811"/>
              <w:jc w:val="both"/>
              <w:rPr>
                <w:rFonts w:hint="default" w:ascii="ＭＳ ゴシック" w:hAnsi="ＭＳ ゴシック" w:eastAsia="ＭＳ ゴシック"/>
              </w:rPr>
            </w:pPr>
            <w:r>
              <w:rPr>
                <w:rFonts w:hint="eastAsia" w:ascii="ＭＳ ゴシック" w:hAnsi="ＭＳ ゴシック" w:eastAsia="ＭＳ ゴシック"/>
              </w:rPr>
              <w:t>箕面市東部地域包括支援センター</w:t>
            </w:r>
          </w:p>
        </w:tc>
        <w:tc>
          <w:tcPr>
            <w:tcW w:w="5588" w:type="dxa"/>
            <w:vAlign w:val="center"/>
          </w:tcPr>
          <w:p>
            <w:pPr>
              <w:pStyle w:val="0"/>
              <w:ind w:left="811" w:hanging="811"/>
              <w:jc w:val="both"/>
              <w:rPr>
                <w:rFonts w:hint="default" w:ascii="ＭＳ 明朝" w:hAnsi="ＭＳ 明朝" w:eastAsia="ＭＳ 明朝"/>
              </w:rPr>
            </w:pPr>
            <w:r>
              <w:rPr>
                <w:rFonts w:hint="eastAsia" w:ascii="ＭＳ 明朝" w:hAnsi="ＭＳ 明朝" w:eastAsia="ＭＳ 明朝"/>
              </w:rPr>
              <w:t>東小学校、豊川北小学校、彩都の丘小学校</w:t>
            </w:r>
          </w:p>
        </w:tc>
      </w:tr>
    </w:tbl>
    <w:p>
      <w:pPr>
        <w:pStyle w:val="0"/>
        <w:rPr>
          <w:rFonts w:hint="default"/>
          <w:color w:val="000000" w:themeColor="text1"/>
        </w:rPr>
      </w:pPr>
      <w:r>
        <w:rPr>
          <w:rFonts w:hint="default"/>
          <w:color w:val="000000" w:themeColor="text1"/>
        </w:rPr>
        <w:drawing>
          <wp:anchor distT="0" distB="0" distL="114300" distR="114300" simplePos="0" relativeHeight="5" behindDoc="0" locked="0" layoutInCell="1" hidden="0" allowOverlap="1">
            <wp:simplePos x="0" y="0"/>
            <wp:positionH relativeFrom="column">
              <wp:posOffset>581025</wp:posOffset>
            </wp:positionH>
            <wp:positionV relativeFrom="paragraph">
              <wp:posOffset>212725</wp:posOffset>
            </wp:positionV>
            <wp:extent cx="5067300" cy="7035800"/>
            <wp:effectExtent l="0" t="0" r="0" b="0"/>
            <wp:wrapNone/>
            <wp:docPr id="1050" name="5圏域色あり.bmp"/>
            <a:graphic xmlns:a="http://schemas.openxmlformats.org/drawingml/2006/main">
              <a:graphicData uri="http://schemas.openxmlformats.org/drawingml/2006/picture">
                <pic:pic xmlns:pic="http://schemas.openxmlformats.org/drawingml/2006/picture">
                  <pic:nvPicPr>
                    <pic:cNvPr id="1050" name="5圏域色あり.bmp"/>
                    <pic:cNvPicPr/>
                  </pic:nvPicPr>
                  <pic:blipFill>
                    <a:blip r:embed="rId26"/>
                    <a:stretch>
                      <a:fillRect/>
                    </a:stretch>
                  </pic:blipFill>
                  <pic:spPr>
                    <a:xfrm>
                      <a:off x="0" y="0"/>
                      <a:ext cx="5067300" cy="703580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shd w:val="pct15" w:color="auto" w:fill="FFFFFF"/>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31" w:name="_Toc59007763"/>
      <w:r>
        <w:rPr>
          <w:rFonts w:hint="eastAsia" w:ascii="メイリオ" w:hAnsi="メイリオ" w:eastAsia="メイリオ"/>
          <w:b w:val="1"/>
          <w:sz w:val="32"/>
          <w:u w:val="single" w:color="auto"/>
        </w:rPr>
        <w:t>２．高齢者等、家族介護者及び事業者の意識・実態</w:t>
      </w:r>
      <w:bookmarkEnd w:id="31"/>
      <w:r>
        <w:rPr>
          <w:rFonts w:hint="eastAsia" w:ascii="メイリオ" w:hAnsi="メイリオ" w:eastAsia="メイリオ"/>
          <w:b w:val="1"/>
          <w:sz w:val="32"/>
          <w:u w:val="single" w:color="auto"/>
        </w:rPr>
        <w:t>　　　　　　　　　　　　</w:t>
      </w:r>
    </w:p>
    <w:p>
      <w:pPr>
        <w:pStyle w:val="4"/>
        <w:ind w:left="0" w:leftChars="0"/>
        <w:rPr>
          <w:rFonts w:hint="default" w:ascii="メイリオ" w:hAnsi="メイリオ" w:eastAsia="メイリオ"/>
          <w:b w:val="0"/>
          <w:sz w:val="28"/>
        </w:rPr>
      </w:pPr>
      <w:bookmarkStart w:id="32" w:name="_Toc59007764"/>
      <w:r>
        <w:rPr>
          <w:rFonts w:hint="eastAsia" w:ascii="メイリオ" w:hAnsi="メイリオ" w:eastAsia="メイリオ"/>
          <w:b w:val="0"/>
          <w:sz w:val="28"/>
        </w:rPr>
        <w:t>（１）高齢者等の意識・実態</w:t>
      </w:r>
      <w:bookmarkEnd w:id="32"/>
    </w:p>
    <w:p>
      <w:pPr>
        <w:pStyle w:val="0"/>
        <w:ind w:firstLine="240" w:firstLineChars="100"/>
        <w:jc w:val="both"/>
        <w:rPr>
          <w:rFonts w:hint="default"/>
        </w:rPr>
      </w:pPr>
      <w:r>
        <w:rPr>
          <w:rFonts w:hint="eastAsia"/>
        </w:rPr>
        <w:t>高齢者等の意識・実態等について、次のアンケート調査結果から整理しました。</w:t>
      </w:r>
    </w:p>
    <w:p>
      <w:pPr>
        <w:pStyle w:val="0"/>
        <w:spacing w:line="240" w:lineRule="exact"/>
        <w:ind w:firstLine="240" w:firstLineChars="100"/>
        <w:rPr>
          <w:rFonts w:hint="default"/>
        </w:rPr>
      </w:pPr>
    </w:p>
    <w:tbl>
      <w:tblPr>
        <w:tblStyle w:val="60"/>
        <w:tblW w:w="10173" w:type="dxa"/>
        <w:tblInd w:w="0" w:type="dxa"/>
        <w:tblLayout w:type="fixed"/>
        <w:tblLook w:firstRow="1" w:lastRow="0" w:firstColumn="1" w:lastColumn="0" w:noHBand="0" w:noVBand="1" w:val="04A0"/>
      </w:tblPr>
      <w:tblGrid>
        <w:gridCol w:w="10173"/>
      </w:tblGrid>
      <w:tr>
        <w:trPr>
          <w:trHeight w:val="4262" w:hRule="atLeast"/>
        </w:trPr>
        <w:tc>
          <w:tcPr>
            <w:tcW w:w="10173"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第８期計画策定のためのアンケート調査</w:t>
            </w:r>
          </w:p>
          <w:p>
            <w:pPr>
              <w:pStyle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□調査期間：令和２年</w:t>
            </w:r>
            <w:r>
              <w:rPr>
                <w:rFonts w:hint="eastAsia" w:ascii="ＭＳ 明朝" w:hAnsi="ＭＳ 明朝" w:eastAsia="ＭＳ 明朝"/>
                <w:color w:val="000000" w:themeColor="text1"/>
                <w:sz w:val="24"/>
              </w:rPr>
              <w:t>(</w:t>
            </w:r>
            <w:r>
              <w:rPr>
                <w:rFonts w:hint="default" w:ascii="ＭＳ 明朝" w:hAnsi="ＭＳ 明朝" w:eastAsia="ＭＳ 明朝"/>
                <w:color w:val="000000" w:themeColor="text1"/>
                <w:sz w:val="24"/>
              </w:rPr>
              <w:t>2020</w:t>
            </w:r>
            <w:r>
              <w:rPr>
                <w:rFonts w:hint="eastAsia" w:ascii="ＭＳ 明朝" w:hAnsi="ＭＳ 明朝" w:eastAsia="ＭＳ 明朝"/>
                <w:color w:val="000000" w:themeColor="text1"/>
                <w:sz w:val="24"/>
              </w:rPr>
              <w:t>年</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１月</w:t>
            </w:r>
            <w:r>
              <w:rPr>
                <w:rFonts w:hint="default" w:ascii="ＭＳ 明朝" w:hAnsi="ＭＳ 明朝" w:eastAsia="ＭＳ 明朝"/>
                <w:color w:val="000000" w:themeColor="text1"/>
                <w:sz w:val="24"/>
              </w:rPr>
              <w:t>30</w:t>
            </w:r>
            <w:r>
              <w:rPr>
                <w:rFonts w:hint="default" w:ascii="ＭＳ 明朝" w:hAnsi="ＭＳ 明朝" w:eastAsia="ＭＳ 明朝"/>
                <w:color w:val="000000" w:themeColor="text1"/>
                <w:sz w:val="24"/>
              </w:rPr>
              <w:t>日</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木</w:t>
            </w:r>
            <w:r>
              <w:rPr>
                <w:rFonts w:hint="default" w:ascii="ＭＳ 明朝" w:hAnsi="ＭＳ 明朝" w:eastAsia="ＭＳ 明朝"/>
                <w:color w:val="000000" w:themeColor="text1"/>
                <w:sz w:val="24"/>
              </w:rPr>
              <w:t>)</w:t>
            </w:r>
            <w:r>
              <w:rPr>
                <w:rFonts w:hint="default" w:ascii="ＭＳ 明朝" w:hAnsi="ＭＳ 明朝" w:eastAsia="ＭＳ 明朝"/>
                <w:color w:val="000000" w:themeColor="text1"/>
                <w:sz w:val="24"/>
              </w:rPr>
              <w:t>～令和２年</w:t>
            </w:r>
            <w:r>
              <w:rPr>
                <w:rFonts w:hint="eastAsia" w:ascii="ＭＳ 明朝" w:hAnsi="ＭＳ 明朝" w:eastAsia="ＭＳ 明朝"/>
                <w:color w:val="000000" w:themeColor="text1"/>
                <w:sz w:val="24"/>
              </w:rPr>
              <w:t>(</w:t>
            </w:r>
            <w:r>
              <w:rPr>
                <w:rFonts w:hint="default" w:ascii="ＭＳ 明朝" w:hAnsi="ＭＳ 明朝" w:eastAsia="ＭＳ 明朝"/>
                <w:color w:val="000000" w:themeColor="text1"/>
                <w:sz w:val="24"/>
              </w:rPr>
              <w:t>2020</w:t>
            </w:r>
            <w:r>
              <w:rPr>
                <w:rFonts w:hint="eastAsia" w:ascii="ＭＳ 明朝" w:hAnsi="ＭＳ 明朝" w:eastAsia="ＭＳ 明朝"/>
                <w:color w:val="000000" w:themeColor="text1"/>
                <w:sz w:val="24"/>
              </w:rPr>
              <w:t>年</w:t>
            </w:r>
            <w:r>
              <w:rPr>
                <w:rFonts w:hint="default" w:ascii="ＭＳ 明朝" w:hAnsi="ＭＳ 明朝" w:eastAsia="ＭＳ 明朝"/>
                <w:color w:val="000000" w:themeColor="text1"/>
                <w:sz w:val="24"/>
              </w:rPr>
              <w:t>)</w:t>
            </w:r>
            <w:r>
              <w:rPr>
                <w:rFonts w:hint="default" w:ascii="ＭＳ 明朝" w:hAnsi="ＭＳ 明朝" w:eastAsia="ＭＳ 明朝"/>
                <w:color w:val="000000" w:themeColor="text1"/>
                <w:sz w:val="24"/>
              </w:rPr>
              <w:t>２月</w:t>
            </w:r>
            <w:r>
              <w:rPr>
                <w:rFonts w:hint="default" w:ascii="ＭＳ 明朝" w:hAnsi="ＭＳ 明朝" w:eastAsia="ＭＳ 明朝"/>
                <w:color w:val="000000" w:themeColor="text1"/>
                <w:sz w:val="24"/>
              </w:rPr>
              <w:t>13</w:t>
            </w:r>
            <w:r>
              <w:rPr>
                <w:rFonts w:hint="default" w:ascii="ＭＳ 明朝" w:hAnsi="ＭＳ 明朝" w:eastAsia="ＭＳ 明朝"/>
                <w:color w:val="000000" w:themeColor="text1"/>
                <w:sz w:val="24"/>
              </w:rPr>
              <w:t>日</w:t>
            </w:r>
            <w:r>
              <w:rPr>
                <w:rFonts w:hint="default" w:ascii="ＭＳ 明朝" w:hAnsi="ＭＳ 明朝" w:eastAsia="ＭＳ 明朝"/>
                <w:color w:val="000000" w:themeColor="text1"/>
                <w:sz w:val="24"/>
              </w:rPr>
              <w:t>(</w:t>
            </w:r>
            <w:r>
              <w:rPr>
                <w:rFonts w:hint="default" w:ascii="ＭＳ 明朝" w:hAnsi="ＭＳ 明朝" w:eastAsia="ＭＳ 明朝"/>
                <w:color w:val="000000" w:themeColor="text1"/>
                <w:sz w:val="24"/>
              </w:rPr>
              <w:t>木</w:t>
            </w:r>
            <w:r>
              <w:rPr>
                <w:rFonts w:hint="default" w:ascii="ＭＳ 明朝" w:hAnsi="ＭＳ 明朝" w:eastAsia="ＭＳ 明朝"/>
                <w:color w:val="000000" w:themeColor="text1"/>
                <w:sz w:val="24"/>
              </w:rPr>
              <w:t>)</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□調査基準日：</w:t>
            </w:r>
            <w:r>
              <w:rPr>
                <w:rFonts w:hint="eastAsia" w:ascii="ＭＳ 明朝" w:hAnsi="ＭＳ 明朝" w:eastAsia="ＭＳ 明朝"/>
                <w:color w:val="000000" w:themeColor="text1"/>
                <w:sz w:val="24"/>
              </w:rPr>
              <w:t>令和２年</w:t>
            </w:r>
            <w:r>
              <w:rPr>
                <w:rFonts w:hint="eastAsia" w:ascii="ＭＳ 明朝" w:hAnsi="ＭＳ 明朝" w:eastAsia="ＭＳ 明朝"/>
                <w:color w:val="000000" w:themeColor="text1"/>
                <w:sz w:val="24"/>
              </w:rPr>
              <w:t>(</w:t>
            </w:r>
            <w:r>
              <w:rPr>
                <w:rFonts w:hint="default" w:ascii="ＭＳ 明朝" w:hAnsi="ＭＳ 明朝" w:eastAsia="ＭＳ 明朝"/>
                <w:color w:val="000000" w:themeColor="text1"/>
                <w:sz w:val="24"/>
              </w:rPr>
              <w:t>2020</w:t>
            </w:r>
            <w:r>
              <w:rPr>
                <w:rFonts w:hint="eastAsia" w:ascii="ＭＳ 明朝" w:hAnsi="ＭＳ 明朝" w:eastAsia="ＭＳ 明朝"/>
                <w:color w:val="000000" w:themeColor="text1"/>
                <w:sz w:val="24"/>
              </w:rPr>
              <w:t>年</w:t>
            </w:r>
            <w:r>
              <w:rPr>
                <w:rFonts w:hint="default" w:ascii="ＭＳ 明朝" w:hAnsi="ＭＳ 明朝" w:eastAsia="ＭＳ 明朝"/>
                <w:color w:val="000000" w:themeColor="text1"/>
                <w:sz w:val="24"/>
              </w:rPr>
              <w:t>)</w:t>
            </w:r>
            <w:r>
              <w:rPr>
                <w:rFonts w:hint="default" w:ascii="ＭＳ 明朝" w:hAnsi="ＭＳ 明朝" w:eastAsia="ＭＳ 明朝"/>
                <w:sz w:val="24"/>
              </w:rPr>
              <w:t>１月１日</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□調査方法：郵送による配布・回収、無記名調査</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□調査対象・回収状況</w:t>
            </w:r>
          </w:p>
          <w:tbl>
            <w:tblPr>
              <w:tblStyle w:val="60"/>
              <w:tblW w:w="9214" w:type="dxa"/>
              <w:tblInd w:w="440" w:type="dxa"/>
              <w:tblLayout w:type="fixed"/>
              <w:tblLook w:firstRow="1" w:lastRow="0" w:firstColumn="1" w:lastColumn="0" w:noHBand="0" w:noVBand="1" w:val="04A0"/>
            </w:tblPr>
            <w:tblGrid>
              <w:gridCol w:w="2127"/>
              <w:gridCol w:w="3969"/>
              <w:gridCol w:w="1417"/>
              <w:gridCol w:w="851"/>
              <w:gridCol w:w="850"/>
            </w:tblGrid>
            <w:tr>
              <w:trPr>
                <w:trHeight w:val="567" w:hRule="atLeast"/>
              </w:trPr>
              <w:tc>
                <w:tcPr>
                  <w:tcW w:w="2127" w:type="dxa"/>
                  <w:shd w:val="clear" w:color="auto" w:fill="BDD6EE"/>
                  <w:vAlign w:val="center"/>
                </w:tcPr>
                <w:p>
                  <w:pPr>
                    <w:pStyle w:val="0"/>
                    <w:spacing w:line="240" w:lineRule="exact"/>
                    <w:jc w:val="center"/>
                    <w:rPr>
                      <w:rFonts w:hint="default" w:ascii="ＭＳ ゴシック" w:hAnsi="ＭＳ ゴシック" w:eastAsia="ＭＳ ゴシック"/>
                      <w:kern w:val="0"/>
                    </w:rPr>
                  </w:pPr>
                  <w:r>
                    <w:rPr>
                      <w:rFonts w:hint="eastAsia" w:ascii="ＭＳ ゴシック" w:hAnsi="ＭＳ ゴシック" w:eastAsia="ＭＳ ゴシック"/>
                      <w:kern w:val="0"/>
                    </w:rPr>
                    <w:t>調査名称</w:t>
                  </w:r>
                </w:p>
              </w:tc>
              <w:tc>
                <w:tcPr>
                  <w:tcW w:w="3969" w:type="dxa"/>
                  <w:shd w:val="clear" w:color="auto" w:fill="BDD6EE"/>
                  <w:vAlign w:val="center"/>
                </w:tcPr>
                <w:p>
                  <w:pPr>
                    <w:pStyle w:val="0"/>
                    <w:spacing w:line="240" w:lineRule="exact"/>
                    <w:jc w:val="center"/>
                    <w:rPr>
                      <w:rFonts w:hint="default" w:ascii="ＭＳ ゴシック" w:hAnsi="ＭＳ ゴシック" w:eastAsia="ＭＳ ゴシック"/>
                      <w:kern w:val="0"/>
                    </w:rPr>
                  </w:pPr>
                  <w:r>
                    <w:rPr>
                      <w:rFonts w:hint="eastAsia" w:ascii="ＭＳ ゴシック" w:hAnsi="ＭＳ ゴシック" w:eastAsia="ＭＳ ゴシック"/>
                      <w:kern w:val="0"/>
                    </w:rPr>
                    <w:t>調査対象</w:t>
                  </w:r>
                </w:p>
              </w:tc>
              <w:tc>
                <w:tcPr>
                  <w:tcW w:w="1417" w:type="dxa"/>
                  <w:shd w:val="clear" w:color="auto" w:fill="BDD6EE"/>
                  <w:vAlign w:val="center"/>
                </w:tcPr>
                <w:p>
                  <w:pPr>
                    <w:pStyle w:val="0"/>
                    <w:spacing w:line="240" w:lineRule="exact"/>
                    <w:jc w:val="center"/>
                    <w:rPr>
                      <w:rFonts w:hint="default" w:ascii="ＭＳ ゴシック" w:hAnsi="ＭＳ ゴシック" w:eastAsia="ＭＳ ゴシック"/>
                      <w:kern w:val="0"/>
                    </w:rPr>
                  </w:pPr>
                  <w:r>
                    <w:rPr>
                      <w:rFonts w:hint="eastAsia" w:ascii="ＭＳ ゴシック" w:hAnsi="ＭＳ ゴシック" w:eastAsia="ＭＳ ゴシック"/>
                      <w:kern w:val="0"/>
                    </w:rPr>
                    <w:t>配布数</w:t>
                  </w:r>
                </w:p>
              </w:tc>
              <w:tc>
                <w:tcPr>
                  <w:tcW w:w="851" w:type="dxa"/>
                  <w:shd w:val="clear" w:color="auto" w:fill="BDD6EE"/>
                  <w:vAlign w:val="center"/>
                </w:tcPr>
                <w:p>
                  <w:pPr>
                    <w:pStyle w:val="0"/>
                    <w:spacing w:line="240" w:lineRule="exact"/>
                    <w:jc w:val="center"/>
                    <w:rPr>
                      <w:rFonts w:hint="default" w:ascii="ＭＳ ゴシック" w:hAnsi="ＭＳ ゴシック" w:eastAsia="ＭＳ ゴシック"/>
                      <w:kern w:val="0"/>
                    </w:rPr>
                  </w:pPr>
                  <w:r>
                    <w:rPr>
                      <w:rFonts w:hint="eastAsia" w:ascii="ＭＳ ゴシック" w:hAnsi="ＭＳ ゴシック" w:eastAsia="ＭＳ ゴシック"/>
                      <w:kern w:val="0"/>
                    </w:rPr>
                    <w:t>回収数</w:t>
                  </w:r>
                </w:p>
              </w:tc>
              <w:tc>
                <w:tcPr>
                  <w:tcW w:w="850" w:type="dxa"/>
                  <w:shd w:val="clear" w:color="auto" w:fill="BDD6EE"/>
                  <w:vAlign w:val="center"/>
                </w:tcPr>
                <w:p>
                  <w:pPr>
                    <w:pStyle w:val="0"/>
                    <w:spacing w:line="240" w:lineRule="exact"/>
                    <w:jc w:val="center"/>
                    <w:rPr>
                      <w:rFonts w:hint="default" w:ascii="ＭＳ ゴシック" w:hAnsi="ＭＳ ゴシック" w:eastAsia="ＭＳ ゴシック"/>
                      <w:kern w:val="0"/>
                    </w:rPr>
                  </w:pPr>
                  <w:r>
                    <w:rPr>
                      <w:rFonts w:hint="eastAsia" w:ascii="ＭＳ ゴシック" w:hAnsi="ＭＳ ゴシック" w:eastAsia="ＭＳ ゴシック"/>
                      <w:kern w:val="0"/>
                    </w:rPr>
                    <w:t>回収率</w:t>
                  </w:r>
                </w:p>
              </w:tc>
            </w:tr>
            <w:tr>
              <w:trPr>
                <w:trHeight w:val="567" w:hRule="atLeast"/>
              </w:trPr>
              <w:tc>
                <w:tcPr>
                  <w:tcW w:w="2127" w:type="dxa"/>
                  <w:shd w:val="clear" w:color="auto" w:fill="BDD6EE"/>
                  <w:vAlign w:val="center"/>
                </w:tcPr>
                <w:p>
                  <w:pPr>
                    <w:pStyle w:val="0"/>
                    <w:spacing w:line="240" w:lineRule="exact"/>
                    <w:rPr>
                      <w:rFonts w:hint="default" w:ascii="ＭＳ ゴシック" w:hAnsi="ＭＳ ゴシック" w:eastAsia="ＭＳ ゴシック"/>
                      <w:kern w:val="0"/>
                    </w:rPr>
                  </w:pPr>
                  <w:r>
                    <w:rPr>
                      <w:rFonts w:hint="eastAsia" w:ascii="ＭＳ ゴシック" w:hAnsi="ＭＳ ゴシック" w:eastAsia="ＭＳ ゴシック"/>
                      <w:kern w:val="0"/>
                    </w:rPr>
                    <w:t>第２号被保険者調査</w:t>
                  </w:r>
                </w:p>
              </w:tc>
              <w:tc>
                <w:tcPr>
                  <w:tcW w:w="3969" w:type="dxa"/>
                  <w:vAlign w:val="center"/>
                </w:tcPr>
                <w:p>
                  <w:pPr>
                    <w:pStyle w:val="0"/>
                    <w:spacing w:line="240" w:lineRule="exact"/>
                    <w:ind w:right="-113" w:rightChars="-47"/>
                    <w:rPr>
                      <w:rFonts w:hint="default" w:ascii="ＭＳ 明朝" w:hAnsi="ＭＳ 明朝" w:eastAsia="ＭＳ 明朝"/>
                      <w:kern w:val="0"/>
                    </w:rPr>
                  </w:pPr>
                  <w:r>
                    <w:rPr>
                      <w:rFonts w:hint="eastAsia" w:ascii="ＭＳ 明朝" w:hAnsi="ＭＳ 明朝" w:eastAsia="ＭＳ 明朝"/>
                      <w:kern w:val="0"/>
                    </w:rPr>
                    <w:t>市内在住で要支援・要介護認定を受けていない</w:t>
                  </w:r>
                  <w:r>
                    <w:rPr>
                      <w:rFonts w:hint="default" w:ascii="ＭＳ 明朝" w:hAnsi="ＭＳ 明朝" w:eastAsia="ＭＳ 明朝"/>
                      <w:kern w:val="0"/>
                    </w:rPr>
                    <w:t>40</w:t>
                  </w:r>
                  <w:r>
                    <w:rPr>
                      <w:rFonts w:hint="default" w:ascii="ＭＳ 明朝" w:hAnsi="ＭＳ 明朝" w:eastAsia="ＭＳ 明朝"/>
                      <w:kern w:val="0"/>
                    </w:rPr>
                    <w:t>歳以上</w:t>
                  </w:r>
                  <w:r>
                    <w:rPr>
                      <w:rFonts w:hint="default" w:ascii="ＭＳ 明朝" w:hAnsi="ＭＳ 明朝" w:eastAsia="ＭＳ 明朝"/>
                      <w:kern w:val="0"/>
                    </w:rPr>
                    <w:t>65</w:t>
                  </w:r>
                  <w:r>
                    <w:rPr>
                      <w:rFonts w:hint="default" w:ascii="ＭＳ 明朝" w:hAnsi="ＭＳ 明朝" w:eastAsia="ＭＳ 明朝"/>
                      <w:kern w:val="0"/>
                    </w:rPr>
                    <w:t>歳未満の</w:t>
                  </w:r>
                  <w:r>
                    <w:rPr>
                      <w:rFonts w:hint="eastAsia" w:ascii="ＭＳ 明朝" w:hAnsi="ＭＳ 明朝" w:eastAsia="ＭＳ 明朝"/>
                      <w:kern w:val="0"/>
                    </w:rPr>
                    <w:t>かた</w:t>
                  </w:r>
                </w:p>
              </w:tc>
              <w:tc>
                <w:tcPr>
                  <w:tcW w:w="1417"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kern w:val="0"/>
                    </w:rPr>
                    <w:t>500</w:t>
                  </w:r>
                  <w:r>
                    <w:rPr>
                      <w:rFonts w:hint="eastAsia" w:ascii="ＭＳ 明朝" w:hAnsi="ＭＳ 明朝" w:eastAsia="ＭＳ 明朝"/>
                      <w:kern w:val="0"/>
                    </w:rPr>
                    <w:t>人</w:t>
                  </w:r>
                </w:p>
                <w:p>
                  <w:pPr>
                    <w:pStyle w:val="0"/>
                    <w:spacing w:line="240" w:lineRule="exact"/>
                    <w:jc w:val="center"/>
                    <w:rPr>
                      <w:rFonts w:hint="default" w:ascii="ＭＳ 明朝" w:hAnsi="ＭＳ 明朝" w:eastAsia="ＭＳ 明朝"/>
                      <w:kern w:val="0"/>
                    </w:rPr>
                  </w:pPr>
                  <w:r>
                    <w:rPr>
                      <w:rFonts w:hint="eastAsia" w:ascii="ＭＳ 明朝" w:hAnsi="ＭＳ 明朝" w:eastAsia="ＭＳ 明朝"/>
                      <w:w w:val="90"/>
                      <w:kern w:val="0"/>
                    </w:rPr>
                    <w:t>(</w:t>
                  </w:r>
                  <w:r>
                    <w:rPr>
                      <w:rFonts w:hint="eastAsia" w:ascii="ＭＳ 明朝" w:hAnsi="ＭＳ 明朝" w:eastAsia="ＭＳ 明朝"/>
                      <w:w w:val="90"/>
                      <w:kern w:val="0"/>
                    </w:rPr>
                    <w:t>無作為抽出</w:t>
                  </w:r>
                  <w:r>
                    <w:rPr>
                      <w:rFonts w:hint="eastAsia" w:ascii="ＭＳ 明朝" w:hAnsi="ＭＳ 明朝" w:eastAsia="ＭＳ 明朝"/>
                      <w:w w:val="90"/>
                      <w:kern w:val="0"/>
                    </w:rPr>
                    <w:t>)</w:t>
                  </w:r>
                </w:p>
              </w:tc>
              <w:tc>
                <w:tcPr>
                  <w:tcW w:w="851"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300</w:t>
                  </w:r>
                  <w:r>
                    <w:rPr>
                      <w:rFonts w:hint="eastAsia" w:ascii="ＭＳ 明朝" w:hAnsi="ＭＳ 明朝" w:eastAsia="ＭＳ 明朝"/>
                    </w:rPr>
                    <w:t>件</w:t>
                  </w:r>
                </w:p>
              </w:tc>
              <w:tc>
                <w:tcPr>
                  <w:tcW w:w="850"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60.0</w:t>
                  </w:r>
                  <w:r>
                    <w:rPr>
                      <w:rFonts w:hint="eastAsia" w:ascii="ＭＳ 明朝" w:hAnsi="ＭＳ 明朝" w:eastAsia="ＭＳ 明朝"/>
                    </w:rPr>
                    <w:t>％</w:t>
                  </w:r>
                </w:p>
              </w:tc>
            </w:tr>
            <w:tr>
              <w:trPr>
                <w:trHeight w:val="567" w:hRule="atLeast"/>
              </w:trPr>
              <w:tc>
                <w:tcPr>
                  <w:tcW w:w="2127" w:type="dxa"/>
                  <w:shd w:val="clear" w:color="auto" w:fill="BDD6EE"/>
                  <w:vAlign w:val="center"/>
                </w:tcPr>
                <w:p>
                  <w:pPr>
                    <w:pStyle w:val="0"/>
                    <w:spacing w:line="240" w:lineRule="exact"/>
                    <w:rPr>
                      <w:rFonts w:hint="default" w:ascii="ＭＳ ゴシック" w:hAnsi="ＭＳ ゴシック" w:eastAsia="ＭＳ ゴシック"/>
                      <w:kern w:val="0"/>
                    </w:rPr>
                  </w:pPr>
                  <w:r>
                    <w:rPr>
                      <w:rFonts w:hint="eastAsia" w:ascii="ＭＳ ゴシック" w:hAnsi="ＭＳ ゴシック" w:eastAsia="ＭＳ ゴシック"/>
                      <w:kern w:val="0"/>
                    </w:rPr>
                    <w:t>第１号被保険者調査</w:t>
                  </w:r>
                </w:p>
              </w:tc>
              <w:tc>
                <w:tcPr>
                  <w:tcW w:w="3969" w:type="dxa"/>
                  <w:vAlign w:val="center"/>
                </w:tcPr>
                <w:p>
                  <w:pPr>
                    <w:pStyle w:val="0"/>
                    <w:spacing w:line="240" w:lineRule="exact"/>
                    <w:rPr>
                      <w:rFonts w:hint="default" w:ascii="ＭＳ 明朝" w:hAnsi="ＭＳ 明朝" w:eastAsia="ＭＳ 明朝"/>
                      <w:kern w:val="0"/>
                    </w:rPr>
                  </w:pPr>
                  <w:r>
                    <w:rPr>
                      <w:rFonts w:hint="eastAsia" w:ascii="ＭＳ 明朝" w:hAnsi="ＭＳ 明朝" w:eastAsia="ＭＳ 明朝"/>
                      <w:kern w:val="0"/>
                    </w:rPr>
                    <w:t>市内在住で要介護認定を受けていない</w:t>
                  </w:r>
                </w:p>
                <w:p>
                  <w:pPr>
                    <w:pStyle w:val="0"/>
                    <w:spacing w:line="240" w:lineRule="exact"/>
                    <w:rPr>
                      <w:rFonts w:hint="default" w:ascii="ＭＳ 明朝" w:hAnsi="ＭＳ 明朝" w:eastAsia="ＭＳ 明朝"/>
                      <w:kern w:val="0"/>
                    </w:rPr>
                  </w:pPr>
                  <w:r>
                    <w:rPr>
                      <w:rFonts w:hint="default" w:ascii="ＭＳ 明朝" w:hAnsi="ＭＳ 明朝" w:eastAsia="ＭＳ 明朝"/>
                      <w:kern w:val="0"/>
                    </w:rPr>
                    <w:t>65</w:t>
                  </w:r>
                  <w:r>
                    <w:rPr>
                      <w:rFonts w:hint="default" w:ascii="ＭＳ 明朝" w:hAnsi="ＭＳ 明朝" w:eastAsia="ＭＳ 明朝"/>
                      <w:kern w:val="0"/>
                    </w:rPr>
                    <w:t>歳以上の</w:t>
                  </w:r>
                  <w:r>
                    <w:rPr>
                      <w:rFonts w:hint="eastAsia" w:ascii="ＭＳ 明朝" w:hAnsi="ＭＳ 明朝" w:eastAsia="ＭＳ 明朝"/>
                      <w:kern w:val="0"/>
                    </w:rPr>
                    <w:t>かた</w:t>
                  </w:r>
                </w:p>
              </w:tc>
              <w:tc>
                <w:tcPr>
                  <w:tcW w:w="1417"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kern w:val="0"/>
                    </w:rPr>
                    <w:t>700</w:t>
                  </w:r>
                  <w:r>
                    <w:rPr>
                      <w:rFonts w:hint="eastAsia" w:ascii="ＭＳ 明朝" w:hAnsi="ＭＳ 明朝" w:eastAsia="ＭＳ 明朝"/>
                      <w:kern w:val="0"/>
                    </w:rPr>
                    <w:t>人</w:t>
                  </w:r>
                </w:p>
                <w:p>
                  <w:pPr>
                    <w:pStyle w:val="0"/>
                    <w:spacing w:line="240" w:lineRule="exact"/>
                    <w:jc w:val="center"/>
                    <w:rPr>
                      <w:rFonts w:hint="default" w:ascii="ＭＳ 明朝" w:hAnsi="ＭＳ 明朝" w:eastAsia="ＭＳ 明朝"/>
                      <w:w w:val="90"/>
                      <w:kern w:val="0"/>
                    </w:rPr>
                  </w:pPr>
                  <w:r>
                    <w:rPr>
                      <w:rFonts w:hint="eastAsia" w:ascii="ＭＳ 明朝" w:hAnsi="ＭＳ 明朝" w:eastAsia="ＭＳ 明朝"/>
                      <w:w w:val="90"/>
                      <w:kern w:val="0"/>
                    </w:rPr>
                    <w:t>(</w:t>
                  </w:r>
                  <w:r>
                    <w:rPr>
                      <w:rFonts w:hint="eastAsia" w:ascii="ＭＳ 明朝" w:hAnsi="ＭＳ 明朝" w:eastAsia="ＭＳ 明朝"/>
                      <w:w w:val="90"/>
                      <w:kern w:val="0"/>
                    </w:rPr>
                    <w:t>無作為抽出</w:t>
                  </w:r>
                  <w:r>
                    <w:rPr>
                      <w:rFonts w:hint="eastAsia" w:ascii="ＭＳ 明朝" w:hAnsi="ＭＳ 明朝" w:eastAsia="ＭＳ 明朝"/>
                      <w:w w:val="90"/>
                      <w:kern w:val="0"/>
                    </w:rPr>
                    <w:t>)</w:t>
                  </w:r>
                </w:p>
              </w:tc>
              <w:tc>
                <w:tcPr>
                  <w:tcW w:w="851"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546</w:t>
                  </w:r>
                  <w:r>
                    <w:rPr>
                      <w:rFonts w:hint="eastAsia" w:ascii="ＭＳ 明朝" w:hAnsi="ＭＳ 明朝" w:eastAsia="ＭＳ 明朝"/>
                    </w:rPr>
                    <w:t>件</w:t>
                  </w:r>
                </w:p>
              </w:tc>
              <w:tc>
                <w:tcPr>
                  <w:tcW w:w="850"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78.0</w:t>
                  </w:r>
                  <w:r>
                    <w:rPr>
                      <w:rFonts w:hint="eastAsia" w:ascii="ＭＳ 明朝" w:hAnsi="ＭＳ 明朝" w:eastAsia="ＭＳ 明朝"/>
                    </w:rPr>
                    <w:t>％</w:t>
                  </w:r>
                </w:p>
              </w:tc>
            </w:tr>
            <w:tr>
              <w:trPr>
                <w:trHeight w:val="567" w:hRule="atLeast"/>
              </w:trPr>
              <w:tc>
                <w:tcPr>
                  <w:tcW w:w="2127" w:type="dxa"/>
                  <w:shd w:val="clear" w:color="auto" w:fill="BDD6EE"/>
                  <w:vAlign w:val="center"/>
                </w:tcPr>
                <w:p>
                  <w:pPr>
                    <w:pStyle w:val="0"/>
                    <w:spacing w:line="240" w:lineRule="exact"/>
                    <w:rPr>
                      <w:rFonts w:hint="default" w:ascii="ＭＳ ゴシック" w:hAnsi="ＭＳ ゴシック" w:eastAsia="ＭＳ ゴシック"/>
                      <w:kern w:val="0"/>
                    </w:rPr>
                  </w:pPr>
                  <w:r>
                    <w:rPr>
                      <w:rFonts w:hint="eastAsia" w:ascii="ＭＳ ゴシック" w:hAnsi="ＭＳ ゴシック" w:eastAsia="ＭＳ ゴシック"/>
                      <w:kern w:val="0"/>
                    </w:rPr>
                    <w:t>要介護者認定者調査</w:t>
                  </w:r>
                </w:p>
              </w:tc>
              <w:tc>
                <w:tcPr>
                  <w:tcW w:w="3969" w:type="dxa"/>
                  <w:vAlign w:val="center"/>
                </w:tcPr>
                <w:p>
                  <w:pPr>
                    <w:pStyle w:val="0"/>
                    <w:spacing w:line="240" w:lineRule="exact"/>
                    <w:ind w:right="-101" w:rightChars="-42"/>
                    <w:rPr>
                      <w:rFonts w:hint="default" w:ascii="ＭＳ 明朝" w:hAnsi="ＭＳ 明朝" w:eastAsia="ＭＳ 明朝"/>
                      <w:kern w:val="0"/>
                    </w:rPr>
                  </w:pPr>
                  <w:r>
                    <w:rPr>
                      <w:rFonts w:hint="eastAsia" w:ascii="ＭＳ 明朝" w:hAnsi="ＭＳ 明朝" w:eastAsia="ＭＳ 明朝"/>
                      <w:kern w:val="0"/>
                    </w:rPr>
                    <w:t>市内在住で要介護認定を受けているかた</w:t>
                  </w:r>
                </w:p>
              </w:tc>
              <w:tc>
                <w:tcPr>
                  <w:tcW w:w="1417"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kern w:val="0"/>
                    </w:rPr>
                    <w:t>100</w:t>
                  </w:r>
                  <w:r>
                    <w:rPr>
                      <w:rFonts w:hint="eastAsia" w:ascii="ＭＳ 明朝" w:hAnsi="ＭＳ 明朝" w:eastAsia="ＭＳ 明朝"/>
                      <w:kern w:val="0"/>
                    </w:rPr>
                    <w:t>人</w:t>
                  </w:r>
                </w:p>
                <w:p>
                  <w:pPr>
                    <w:pStyle w:val="0"/>
                    <w:spacing w:line="240" w:lineRule="exact"/>
                    <w:jc w:val="center"/>
                    <w:rPr>
                      <w:rFonts w:hint="default" w:ascii="ＭＳ 明朝" w:hAnsi="ＭＳ 明朝" w:eastAsia="ＭＳ 明朝"/>
                      <w:kern w:val="0"/>
                    </w:rPr>
                  </w:pPr>
                  <w:r>
                    <w:rPr>
                      <w:rFonts w:hint="eastAsia" w:ascii="ＭＳ 明朝" w:hAnsi="ＭＳ 明朝" w:eastAsia="ＭＳ 明朝"/>
                      <w:w w:val="90"/>
                      <w:kern w:val="0"/>
                    </w:rPr>
                    <w:t>(</w:t>
                  </w:r>
                  <w:r>
                    <w:rPr>
                      <w:rFonts w:hint="eastAsia" w:ascii="ＭＳ 明朝" w:hAnsi="ＭＳ 明朝" w:eastAsia="ＭＳ 明朝"/>
                      <w:w w:val="90"/>
                      <w:kern w:val="0"/>
                    </w:rPr>
                    <w:t>無作為抽出</w:t>
                  </w:r>
                  <w:r>
                    <w:rPr>
                      <w:rFonts w:hint="eastAsia" w:ascii="ＭＳ 明朝" w:hAnsi="ＭＳ 明朝" w:eastAsia="ＭＳ 明朝"/>
                      <w:w w:val="90"/>
                      <w:kern w:val="0"/>
                    </w:rPr>
                    <w:t>)</w:t>
                  </w:r>
                </w:p>
              </w:tc>
              <w:tc>
                <w:tcPr>
                  <w:tcW w:w="851"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68</w:t>
                  </w:r>
                  <w:r>
                    <w:rPr>
                      <w:rFonts w:hint="eastAsia" w:ascii="ＭＳ 明朝" w:hAnsi="ＭＳ 明朝" w:eastAsia="ＭＳ 明朝"/>
                    </w:rPr>
                    <w:t>件</w:t>
                  </w:r>
                </w:p>
              </w:tc>
              <w:tc>
                <w:tcPr>
                  <w:tcW w:w="850" w:type="dxa"/>
                  <w:vAlign w:val="center"/>
                </w:tcPr>
                <w:p>
                  <w:pPr>
                    <w:pStyle w:val="0"/>
                    <w:spacing w:line="240" w:lineRule="exact"/>
                    <w:jc w:val="center"/>
                    <w:rPr>
                      <w:rFonts w:hint="default" w:ascii="ＭＳ 明朝" w:hAnsi="ＭＳ 明朝" w:eastAsia="ＭＳ 明朝"/>
                      <w:kern w:val="0"/>
                    </w:rPr>
                  </w:pPr>
                  <w:r>
                    <w:rPr>
                      <w:rFonts w:hint="eastAsia" w:ascii="ＭＳ 明朝" w:hAnsi="ＭＳ 明朝" w:eastAsia="ＭＳ 明朝"/>
                    </w:rPr>
                    <w:t>68.0</w:t>
                  </w:r>
                  <w:r>
                    <w:rPr>
                      <w:rFonts w:hint="eastAsia" w:ascii="ＭＳ 明朝" w:hAnsi="ＭＳ 明朝" w:eastAsia="ＭＳ 明朝"/>
                    </w:rPr>
                    <w:t>％</w:t>
                  </w:r>
                </w:p>
              </w:tc>
            </w:tr>
          </w:tbl>
          <w:p>
            <w:pPr>
              <w:pStyle w:val="0"/>
              <w:ind w:firstLine="210" w:firstLineChars="100"/>
              <w:rPr>
                <w:rFonts w:hint="default"/>
              </w:rPr>
            </w:pPr>
          </w:p>
        </w:tc>
      </w:tr>
    </w:tbl>
    <w:p>
      <w:pPr>
        <w:pStyle w:val="0"/>
        <w:rPr>
          <w:rFonts w:hint="default" w:ascii="ＭＳ ゴシック" w:hAnsi="ＭＳ ゴシック" w:eastAsia="ＭＳ ゴシック"/>
          <w:sz w:val="21"/>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※集計結果を見る上での注意事項</w:t>
      </w:r>
    </w:p>
    <w:p>
      <w:pPr>
        <w:pStyle w:val="0"/>
        <w:ind w:left="450" w:leftChars="100" w:hanging="210" w:hangingChars="100"/>
        <w:jc w:val="both"/>
        <w:rPr>
          <w:rFonts w:hint="default"/>
          <w:sz w:val="21"/>
        </w:rPr>
      </w:pPr>
      <w:r>
        <w:rPr>
          <w:rFonts w:hint="eastAsia"/>
          <w:sz w:val="21"/>
        </w:rPr>
        <w:t>○　回答は、各質問の回答者数（ｎ）を基数とした百分率（％）で示し、小数点第２位を四捨五入しました（比率の合計が</w:t>
      </w:r>
      <w:r>
        <w:rPr>
          <w:rFonts w:hint="eastAsia"/>
          <w:sz w:val="21"/>
        </w:rPr>
        <w:t>100.0</w:t>
      </w:r>
      <w:r>
        <w:rPr>
          <w:rFonts w:hint="eastAsia"/>
          <w:sz w:val="21"/>
        </w:rPr>
        <w:t>％にならない場合があります。）。</w:t>
      </w:r>
    </w:p>
    <w:p>
      <w:pPr>
        <w:pStyle w:val="0"/>
        <w:ind w:left="450" w:leftChars="100" w:hanging="210" w:hangingChars="100"/>
        <w:jc w:val="both"/>
        <w:rPr>
          <w:rFonts w:hint="default"/>
          <w:sz w:val="21"/>
        </w:rPr>
      </w:pPr>
      <w:r>
        <w:rPr>
          <w:rFonts w:hint="eastAsia"/>
          <w:sz w:val="21"/>
        </w:rPr>
        <w:t>○　図表上の「ＭＡ％」という表記は複数回答（</w:t>
      </w:r>
      <w:r>
        <w:rPr>
          <w:rFonts w:hint="eastAsia"/>
          <w:sz w:val="21"/>
        </w:rPr>
        <w:t xml:space="preserve">Multiple Answer </w:t>
      </w:r>
      <w:r>
        <w:rPr>
          <w:rFonts w:hint="eastAsia"/>
          <w:sz w:val="21"/>
        </w:rPr>
        <w:t>の略）の、また、「ＬＡ％」という表記は制限つき複数回答（</w:t>
      </w:r>
      <w:r>
        <w:rPr>
          <w:rFonts w:hint="eastAsia"/>
          <w:sz w:val="21"/>
        </w:rPr>
        <w:t xml:space="preserve">Limited Answer </w:t>
      </w:r>
      <w:r>
        <w:rPr>
          <w:rFonts w:hint="eastAsia"/>
          <w:sz w:val="21"/>
        </w:rPr>
        <w:t>の略）の意味です。</w:t>
      </w:r>
    </w:p>
    <w:p>
      <w:pPr>
        <w:pStyle w:val="0"/>
        <w:ind w:left="930" w:leftChars="300" w:hanging="210" w:hangingChars="100"/>
        <w:jc w:val="both"/>
        <w:rPr>
          <w:rFonts w:hint="default"/>
          <w:sz w:val="21"/>
        </w:rPr>
      </w:pPr>
      <w:r>
        <w:rPr>
          <w:rFonts w:hint="eastAsia"/>
          <w:sz w:val="21"/>
        </w:rPr>
        <w:t>・ＭＡ％（</w:t>
      </w:r>
      <w:r>
        <w:rPr>
          <w:rFonts w:hint="eastAsia"/>
          <w:sz w:val="21"/>
        </w:rPr>
        <w:t>Multiple Answer</w:t>
      </w:r>
      <w:r>
        <w:rPr>
          <w:rFonts w:hint="eastAsia"/>
          <w:sz w:val="21"/>
        </w:rPr>
        <w:t>）：回答選択肢の中からあてはまるものをすべて選択する場合</w:t>
      </w:r>
    </w:p>
    <w:p>
      <w:pPr>
        <w:pStyle w:val="0"/>
        <w:ind w:left="930" w:leftChars="300" w:hanging="210" w:hangingChars="100"/>
        <w:jc w:val="both"/>
        <w:rPr>
          <w:rFonts w:hint="default"/>
          <w:sz w:val="21"/>
        </w:rPr>
      </w:pPr>
      <w:r>
        <w:rPr>
          <w:rFonts w:hint="eastAsia"/>
          <w:sz w:val="21"/>
        </w:rPr>
        <w:t>・３ＬＡ％（</w:t>
      </w:r>
      <w:r>
        <w:rPr>
          <w:rFonts w:hint="eastAsia"/>
          <w:sz w:val="21"/>
        </w:rPr>
        <w:t>3 Limited Answer</w:t>
      </w:r>
      <w:r>
        <w:rPr>
          <w:rFonts w:hint="eastAsia"/>
          <w:sz w:val="21"/>
        </w:rPr>
        <w:t>）：回答選択肢の中からあてはまるものを３つ以内で選択する場合</w:t>
      </w:r>
    </w:p>
    <w:p>
      <w:pPr>
        <w:pStyle w:val="40"/>
        <w:ind w:left="600" w:leftChars="250" w:firstLine="210"/>
        <w:rPr>
          <w:rFonts w:hint="default"/>
          <w:sz w:val="21"/>
        </w:rPr>
      </w:pPr>
      <w:r>
        <w:rPr>
          <w:rFonts w:hint="eastAsia"/>
          <w:sz w:val="21"/>
        </w:rPr>
        <w:t>これ以外の場合は、特に断りがない限り、単一回答（回答選択肢の中からあてはまるものを１つだけ選択する）形式の設問です。</w:t>
      </w:r>
    </w:p>
    <w:p>
      <w:pPr>
        <w:pStyle w:val="0"/>
        <w:ind w:left="450" w:leftChars="100" w:hanging="210" w:hangingChars="100"/>
        <w:jc w:val="both"/>
        <w:rPr>
          <w:rFonts w:hint="default"/>
          <w:sz w:val="21"/>
        </w:rPr>
      </w:pPr>
      <w:r>
        <w:rPr>
          <w:rFonts w:hint="eastAsia"/>
          <w:sz w:val="21"/>
        </w:rPr>
        <w:t>○　図表中において「無回答」とあるものは、回答が示されていない、または回答の判別が著しく困難なものです。</w:t>
      </w:r>
    </w:p>
    <w:p>
      <w:pPr>
        <w:pStyle w:val="0"/>
        <w:spacing w:after="72" w:afterLines="20" w:afterAutospacing="0"/>
        <w:ind w:left="450" w:leftChars="100" w:hanging="210" w:hangingChars="100"/>
        <w:jc w:val="both"/>
        <w:rPr>
          <w:rFonts w:hint="default"/>
          <w:sz w:val="21"/>
        </w:rPr>
      </w:pPr>
      <w:r>
        <w:rPr>
          <w:rFonts w:hint="eastAsia"/>
          <w:sz w:val="21"/>
        </w:rPr>
        <w:t>○　タイトルや分析文における【第２号】【第１号（全体）】【第１号（自立）】【第１号（総合事業対象者）】【第１号（要支援）】【要介護】については、以下のとおりです。</w:t>
      </w:r>
    </w:p>
    <w:tbl>
      <w:tblPr>
        <w:tblStyle w:val="60"/>
        <w:tblW w:w="8360" w:type="dxa"/>
        <w:tblInd w:w="988" w:type="dxa"/>
        <w:tblLayout w:type="fixed"/>
        <w:tblLook w:firstRow="1" w:lastRow="0" w:firstColumn="1" w:lastColumn="0" w:noHBand="0" w:noVBand="1" w:val="04A0"/>
      </w:tblPr>
      <w:tblGrid>
        <w:gridCol w:w="550"/>
        <w:gridCol w:w="7810"/>
      </w:tblGrid>
      <w:tr>
        <w:trPr/>
        <w:tc>
          <w:tcPr>
            <w:tcW w:w="8360" w:type="dxa"/>
            <w:gridSpan w:val="2"/>
            <w:vAlign w:val="top"/>
          </w:tcPr>
          <w:p>
            <w:pPr>
              <w:pStyle w:val="0"/>
              <w:rPr>
                <w:rFonts w:hint="default" w:ascii="ＭＳ 明朝" w:hAnsi="ＭＳ 明朝" w:eastAsia="ＭＳ 明朝"/>
              </w:rPr>
            </w:pPr>
            <w:r>
              <w:rPr>
                <w:rFonts w:hint="eastAsia" w:ascii="ＭＳ 明朝" w:hAnsi="ＭＳ 明朝" w:eastAsia="ＭＳ 明朝"/>
              </w:rPr>
              <w:t>【第２号】：第２号被保険者調査</w:t>
            </w:r>
          </w:p>
        </w:tc>
      </w:tr>
      <w:tr>
        <w:trPr/>
        <w:tc>
          <w:tcPr>
            <w:tcW w:w="8360" w:type="dxa"/>
            <w:gridSpan w:val="2"/>
            <w:tcBorders>
              <w:top w:val="none" w:color="auto" w:sz="0" w:space="0"/>
              <w:left w:val="none" w:color="auto" w:sz="0" w:space="0"/>
              <w:bottom w:val="nil"/>
              <w:right w:val="none" w:color="auto" w:sz="0" w:space="0"/>
              <w:tl2br w:val="none" w:color="auto" w:sz="0" w:space="0"/>
              <w:tr2bl w:val="none" w:color="auto" w:sz="0" w:space="0"/>
            </w:tcBorders>
            <w:vAlign w:val="top"/>
          </w:tcPr>
          <w:p>
            <w:pPr>
              <w:pStyle w:val="0"/>
              <w:rPr>
                <w:rFonts w:hint="default" w:ascii="ＭＳ 明朝" w:hAnsi="ＭＳ 明朝" w:eastAsia="ＭＳ 明朝"/>
              </w:rPr>
            </w:pPr>
            <w:r>
              <w:rPr>
                <w:rFonts w:hint="eastAsia" w:ascii="ＭＳ 明朝" w:hAnsi="ＭＳ 明朝" w:eastAsia="ＭＳ 明朝"/>
              </w:rPr>
              <w:t>【第１号（全体）】：第１号被保険者調査</w:t>
            </w:r>
          </w:p>
        </w:tc>
      </w:tr>
      <w:tr>
        <w:trPr/>
        <w:tc>
          <w:tcPr>
            <w:tcW w:w="550" w:type="dxa"/>
            <w:tcBorders>
              <w:top w:val="nil"/>
              <w:left w:val="none" w:color="auto" w:sz="0" w:space="0"/>
              <w:bottom w:val="nil"/>
              <w:right w:val="none" w:color="auto" w:sz="0" w:space="0"/>
              <w:tl2br w:val="none" w:color="auto" w:sz="0" w:space="0"/>
              <w:tr2bl w:val="none" w:color="auto" w:sz="0" w:space="0"/>
            </w:tcBorders>
            <w:vAlign w:val="top"/>
          </w:tcPr>
          <w:p>
            <w:pPr>
              <w:pStyle w:val="0"/>
              <w:rPr>
                <w:rFonts w:hint="default" w:asciiTheme="minorEastAsia" w:hAnsiTheme="minorEastAsia"/>
              </w:rPr>
            </w:pPr>
          </w:p>
        </w:tc>
        <w:tc>
          <w:tcPr>
            <w:tcW w:w="781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eastAsia="ＭＳ 明朝"/>
              </w:rPr>
            </w:pPr>
            <w:r>
              <w:rPr>
                <w:rFonts w:hint="eastAsia" w:ascii="ＭＳ 明朝" w:hAnsi="ＭＳ 明朝" w:eastAsia="ＭＳ 明朝"/>
              </w:rPr>
              <w:t>【第１号（自立）】：第１号被保険者調査の未認定者抜粋</w:t>
            </w:r>
          </w:p>
        </w:tc>
      </w:tr>
      <w:tr>
        <w:trPr/>
        <w:tc>
          <w:tcPr>
            <w:tcW w:w="550" w:type="dxa"/>
            <w:tcBorders>
              <w:top w:val="nil"/>
              <w:left w:val="none" w:color="auto" w:sz="0" w:space="0"/>
              <w:bottom w:val="nil"/>
              <w:right w:val="none" w:color="auto" w:sz="0" w:space="0"/>
              <w:tl2br w:val="none" w:color="auto" w:sz="0" w:space="0"/>
              <w:tr2bl w:val="none" w:color="auto" w:sz="0" w:space="0"/>
            </w:tcBorders>
            <w:vAlign w:val="top"/>
          </w:tcPr>
          <w:p>
            <w:pPr>
              <w:pStyle w:val="0"/>
              <w:rPr>
                <w:rFonts w:hint="default" w:asciiTheme="minorEastAsia" w:hAnsiTheme="minorEastAsia"/>
              </w:rPr>
            </w:pPr>
          </w:p>
        </w:tc>
        <w:tc>
          <w:tcPr>
            <w:tcW w:w="7810" w:type="dxa"/>
            <w:vAlign w:val="top"/>
          </w:tcPr>
          <w:p>
            <w:pPr>
              <w:pStyle w:val="0"/>
              <w:rPr>
                <w:rFonts w:hint="default" w:ascii="ＭＳ 明朝" w:hAnsi="ＭＳ 明朝" w:eastAsia="ＭＳ 明朝"/>
              </w:rPr>
            </w:pPr>
            <w:r>
              <w:rPr>
                <w:rFonts w:hint="eastAsia" w:ascii="ＭＳ 明朝" w:hAnsi="ＭＳ 明朝" w:eastAsia="ＭＳ 明朝"/>
              </w:rPr>
              <w:t>【第１号（総合事業対象者）】：第１号被保険者調査の総合事業対象者抜粋</w:t>
            </w:r>
          </w:p>
        </w:tc>
      </w:tr>
      <w:tr>
        <w:trPr/>
        <w:tc>
          <w:tcPr>
            <w:tcW w:w="550" w:type="dxa"/>
            <w:tcBorders>
              <w:top w:val="nil"/>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Theme="minorEastAsia" w:hAnsiTheme="minorEastAsia"/>
              </w:rPr>
            </w:pPr>
          </w:p>
        </w:tc>
        <w:tc>
          <w:tcPr>
            <w:tcW w:w="7810" w:type="dxa"/>
            <w:vAlign w:val="top"/>
          </w:tcPr>
          <w:p>
            <w:pPr>
              <w:pStyle w:val="0"/>
              <w:rPr>
                <w:rFonts w:hint="default" w:ascii="ＭＳ 明朝" w:hAnsi="ＭＳ 明朝" w:eastAsia="ＭＳ 明朝"/>
              </w:rPr>
            </w:pPr>
            <w:r>
              <w:rPr>
                <w:rFonts w:hint="eastAsia" w:ascii="ＭＳ 明朝" w:hAnsi="ＭＳ 明朝" w:eastAsia="ＭＳ 明朝"/>
              </w:rPr>
              <w:t>【第１号（要支援）】：第１号被保険者調査の要支援認定者抜粋</w:t>
            </w:r>
          </w:p>
        </w:tc>
      </w:tr>
      <w:tr>
        <w:trPr/>
        <w:tc>
          <w:tcPr>
            <w:tcW w:w="8360" w:type="dxa"/>
            <w:gridSpan w:val="2"/>
            <w:vAlign w:val="top"/>
          </w:tcPr>
          <w:p>
            <w:pPr>
              <w:pStyle w:val="0"/>
              <w:rPr>
                <w:rFonts w:hint="default" w:ascii="ＭＳ 明朝" w:hAnsi="ＭＳ 明朝" w:eastAsia="ＭＳ 明朝"/>
              </w:rPr>
            </w:pPr>
            <w:r>
              <w:rPr>
                <w:rFonts w:hint="eastAsia" w:ascii="ＭＳ 明朝" w:hAnsi="ＭＳ 明朝" w:eastAsia="ＭＳ 明朝"/>
              </w:rPr>
              <w:t>【要介護】：要介護認定者調査</w:t>
            </w:r>
          </w:p>
        </w:tc>
      </w:tr>
    </w:tbl>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高齢者世帯の状況について</w:t>
      </w:r>
    </w:p>
    <w:p>
      <w:pPr>
        <w:pStyle w:val="0"/>
        <w:ind w:firstLine="240" w:firstLineChars="100"/>
        <w:jc w:val="both"/>
        <w:rPr>
          <w:rFonts w:hint="default"/>
        </w:rPr>
      </w:pPr>
      <w:r>
        <w:rPr>
          <w:rFonts w:hint="eastAsia"/>
        </w:rPr>
        <w:t>家族構成については、【第２号】は「</w:t>
      </w:r>
      <w:r>
        <w:rPr>
          <w:rFonts w:hint="eastAsia"/>
        </w:rPr>
        <w:t>65</w:t>
      </w:r>
      <w:r>
        <w:rPr>
          <w:rFonts w:hint="eastAsia"/>
        </w:rPr>
        <w:t>歳未満のかたのみの世帯」が</w:t>
      </w:r>
      <w:r>
        <w:rPr>
          <w:rFonts w:hint="default"/>
        </w:rPr>
        <w:t>63.3</w:t>
      </w:r>
      <w:r>
        <w:rPr>
          <w:rFonts w:hint="default"/>
        </w:rPr>
        <w:t>％で最も多く、次いで</w:t>
      </w:r>
      <w:r>
        <w:rPr>
          <w:rFonts w:hint="eastAsia"/>
        </w:rPr>
        <w:t>65</w:t>
      </w:r>
      <w:r>
        <w:rPr>
          <w:rFonts w:hint="default"/>
        </w:rPr>
        <w:t>歳以上のかたを含む世帯」が</w:t>
      </w:r>
      <w:r>
        <w:rPr>
          <w:rFonts w:hint="default"/>
        </w:rPr>
        <w:t>24.3</w:t>
      </w:r>
      <w:r>
        <w:rPr>
          <w:rFonts w:hint="default"/>
        </w:rPr>
        <w:t>％、「１人暮らし」が</w:t>
      </w:r>
      <w:r>
        <w:rPr>
          <w:rFonts w:hint="default"/>
        </w:rPr>
        <w:t>7.3</w:t>
      </w:r>
      <w:r>
        <w:rPr>
          <w:rFonts w:hint="default"/>
        </w:rPr>
        <w:t>％となっています。【第１号（自立）】は「夫婦２人暮らし（配偶者は</w:t>
      </w:r>
      <w:r>
        <w:rPr>
          <w:rFonts w:hint="default"/>
        </w:rPr>
        <w:t>65</w:t>
      </w:r>
      <w:r>
        <w:rPr>
          <w:rFonts w:hint="default"/>
        </w:rPr>
        <w:t>歳以上）」が</w:t>
      </w:r>
      <w:r>
        <w:rPr>
          <w:rFonts w:hint="default"/>
        </w:rPr>
        <w:t>53.7</w:t>
      </w:r>
      <w:r>
        <w:rPr>
          <w:rFonts w:hint="default"/>
        </w:rPr>
        <w:t>％で最も多く、次いで「１人暮らし」が</w:t>
      </w:r>
      <w:r>
        <w:rPr>
          <w:rFonts w:hint="default"/>
        </w:rPr>
        <w:t>13.6</w:t>
      </w:r>
      <w:r>
        <w:rPr>
          <w:rFonts w:hint="default"/>
        </w:rPr>
        <w:t>％、「息子・娘との２世帯」が</w:t>
      </w:r>
      <w:r>
        <w:rPr>
          <w:rFonts w:hint="default"/>
        </w:rPr>
        <w:t>12.1</w:t>
      </w:r>
      <w:r>
        <w:rPr>
          <w:rFonts w:hint="default"/>
        </w:rPr>
        <w:t>％となっています。【第１号（総合事業対象者）】と【第１号（要支援）】では「１人暮らし」の割合が３割台と高いですが、いずれも「夫婦２人暮らし（配偶者は</w:t>
      </w:r>
      <w:r>
        <w:rPr>
          <w:rFonts w:hint="default"/>
        </w:rPr>
        <w:t>65</w:t>
      </w:r>
      <w:r>
        <w:rPr>
          <w:rFonts w:hint="default"/>
        </w:rPr>
        <w:t>歳以上）」が最も多くなっています。</w:t>
      </w:r>
      <w:r>
        <w:rPr>
          <w:rFonts w:hint="eastAsia"/>
        </w:rPr>
        <w:t>【要介護】は「息子・娘との２世帯」が</w:t>
      </w:r>
      <w:r>
        <w:rPr>
          <w:rFonts w:hint="default"/>
        </w:rPr>
        <w:t>39.7</w:t>
      </w:r>
      <w:r>
        <w:rPr>
          <w:rFonts w:hint="default"/>
        </w:rPr>
        <w:t>％で最も多く、次いで「夫婦２人暮らし（配偶者は</w:t>
      </w:r>
      <w:r>
        <w:rPr>
          <w:rFonts w:hint="default"/>
        </w:rPr>
        <w:t>65</w:t>
      </w:r>
      <w:r>
        <w:rPr>
          <w:rFonts w:hint="default"/>
        </w:rPr>
        <w:t>歳以上）」が</w:t>
      </w:r>
      <w:r>
        <w:rPr>
          <w:rFonts w:hint="default"/>
        </w:rPr>
        <w:t>22.1</w:t>
      </w:r>
      <w:r>
        <w:rPr>
          <w:rFonts w:hint="default"/>
        </w:rPr>
        <w:t>％、「１人暮らし」が</w:t>
      </w:r>
      <w:r>
        <w:rPr>
          <w:rFonts w:hint="default"/>
        </w:rPr>
        <w:t>14.7</w:t>
      </w:r>
      <w:r>
        <w:rPr>
          <w:rFonts w:hint="default"/>
        </w:rPr>
        <w:t>％となっています。</w:t>
      </w:r>
    </w:p>
    <w:p>
      <w:pPr>
        <w:pStyle w:val="0"/>
        <w:rPr>
          <w:rFonts w:hint="default"/>
        </w:rPr>
      </w:pPr>
    </w:p>
    <w:p>
      <w:pPr>
        <w:pStyle w:val="0"/>
        <w:ind w:firstLine="210" w:firstLineChars="10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w:t>
      </w:r>
      <w:r>
        <w:rPr>
          <w:rFonts w:hint="default" w:ascii="ＭＳ ゴシック" w:hAnsi="ＭＳ ゴシック" w:eastAsia="ＭＳ ゴシック"/>
          <w:sz w:val="21"/>
        </w:rPr>
        <w:t>0</w:t>
      </w:r>
      <w:r>
        <w:rPr>
          <w:rFonts w:hint="eastAsia" w:ascii="ＭＳ ゴシック" w:hAnsi="ＭＳ ゴシック" w:eastAsia="ＭＳ ゴシック"/>
          <w:sz w:val="21"/>
        </w:rPr>
        <w:t>：家族構成</w:t>
      </w:r>
    </w:p>
    <w:p>
      <w:pPr>
        <w:pStyle w:val="0"/>
        <w:rPr>
          <w:rFonts w:hint="default"/>
        </w:rPr>
      </w:pPr>
      <w:r>
        <w:rPr>
          <w:rFonts w:hint="eastAsia"/>
        </w:rPr>
        <mc:AlternateContent>
          <mc:Choice Requires="wps">
            <w:drawing>
              <wp:anchor distT="0" distB="0" distL="114300" distR="114300" simplePos="0" relativeHeight="259" behindDoc="0" locked="0" layoutInCell="1" hidden="0" allowOverlap="1">
                <wp:simplePos x="0" y="0"/>
                <wp:positionH relativeFrom="column">
                  <wp:posOffset>4114800</wp:posOffset>
                </wp:positionH>
                <wp:positionV relativeFrom="paragraph">
                  <wp:posOffset>61595</wp:posOffset>
                </wp:positionV>
                <wp:extent cx="679450" cy="355600"/>
                <wp:effectExtent l="0" t="0" r="635" b="635"/>
                <wp:wrapNone/>
                <wp:docPr id="1051" name="テキスト ボックス 1307"/>
                <a:graphic xmlns:a="http://schemas.openxmlformats.org/drawingml/2006/main">
                  <a:graphicData uri="http://schemas.microsoft.com/office/word/2010/wordprocessingShape">
                    <wps:wsp>
                      <wps:cNvPr id="1051" name="テキスト ボックス 1307"/>
                      <wps:cNvSpPr txBox="1"/>
                      <wps:spPr>
                        <a:xfrm>
                          <a:off x="0" y="0"/>
                          <a:ext cx="679450" cy="355600"/>
                        </a:xfrm>
                        <a:prstGeom prst="rect">
                          <a:avLst/>
                        </a:prstGeom>
                        <a:noFill/>
                        <a:ln w="6350">
                          <a:noFill/>
                        </a:ln>
                      </wps:spPr>
                      <wps:txbx>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65</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07" style="mso-wrap-distance-right:9pt;mso-wrap-distance-bottom:0pt;margin-top:4.84pt;mso-position-vertical-relative:text;mso-position-horizontal-relative:text;v-text-anchor:top;position:absolute;height:28pt;mso-wrap-distance-top:0pt;width:53.5pt;mso-wrap-distance-left:9pt;margin-left:324pt;z-index:259;" o:spid="_x0000_s1051" o:allowincell="t" o:allowoverlap="t" filled="f" stroked="f" strokeweight="0.5pt" o:spt="202" type="#_x0000_t202">
                <v:fill/>
                <v:textbox style="layout-flow:horizontal;">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65</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58" behindDoc="0" locked="0" layoutInCell="1" hidden="0" allowOverlap="1">
                <wp:simplePos x="0" y="0"/>
                <wp:positionH relativeFrom="column">
                  <wp:posOffset>1981200</wp:posOffset>
                </wp:positionH>
                <wp:positionV relativeFrom="paragraph">
                  <wp:posOffset>192405</wp:posOffset>
                </wp:positionV>
                <wp:extent cx="679450" cy="355600"/>
                <wp:effectExtent l="0" t="0" r="635" b="635"/>
                <wp:wrapNone/>
                <wp:docPr id="1052" name="テキスト ボックス 1306"/>
                <a:graphic xmlns:a="http://schemas.openxmlformats.org/drawingml/2006/main">
                  <a:graphicData uri="http://schemas.microsoft.com/office/word/2010/wordprocessingShape">
                    <wps:wsp>
                      <wps:cNvPr id="1052" name="テキスト ボックス 1306"/>
                      <wps:cNvSpPr txBox="1"/>
                      <wps:spPr>
                        <a:xfrm>
                          <a:off x="0" y="0"/>
                          <a:ext cx="679450" cy="355600"/>
                        </a:xfrm>
                        <a:prstGeom prst="rect">
                          <a:avLst/>
                        </a:prstGeom>
                        <a:noFill/>
                        <a:ln w="6350">
                          <a:noFill/>
                        </a:ln>
                      </wps:spPr>
                      <wps:txbx>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65</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06" style="mso-wrap-distance-right:9pt;mso-wrap-distance-bottom:0pt;margin-top:15.15pt;mso-position-vertical-relative:text;mso-position-horizontal-relative:text;v-text-anchor:top;position:absolute;height:28pt;mso-wrap-distance-top:0pt;width:53.5pt;mso-wrap-distance-left:9pt;margin-left:156pt;z-index:258;" o:spid="_x0000_s1052" o:allowincell="t" o:allowoverlap="t" filled="f" stroked="f" strokeweight="0.5pt" o:spt="202" type="#_x0000_t202">
                <v:fill/>
                <v:textbox style="layout-flow:horizontal;">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65</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57" behindDoc="0" locked="0" layoutInCell="1" hidden="0" allowOverlap="1">
                <wp:simplePos x="0" y="0"/>
                <wp:positionH relativeFrom="column">
                  <wp:posOffset>4044950</wp:posOffset>
                </wp:positionH>
                <wp:positionV relativeFrom="paragraph">
                  <wp:posOffset>133350</wp:posOffset>
                </wp:positionV>
                <wp:extent cx="311150" cy="177800"/>
                <wp:effectExtent l="0" t="0" r="635" b="635"/>
                <wp:wrapNone/>
                <wp:docPr id="1053" name="正方形/長方形 1305"/>
                <a:graphic xmlns:a="http://schemas.openxmlformats.org/drawingml/2006/main">
                  <a:graphicData uri="http://schemas.microsoft.com/office/word/2010/wordprocessingShape">
                    <wps:wsp>
                      <wps:cNvPr id="1053" name="正方形/長方形 1305"/>
                      <wps:cNvSpPr/>
                      <wps:spPr>
                        <a:xfrm>
                          <a:off x="0" y="0"/>
                          <a:ext cx="311150" cy="17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05" style="mso-wrap-distance-right:9pt;mso-wrap-distance-bottom:0pt;margin-top:10.5pt;mso-position-vertical-relative:text;mso-position-horizontal-relative:text;position:absolute;height:14pt;mso-wrap-distance-top:0pt;width:24.5pt;mso-wrap-distance-left:9pt;margin-left:318.5pt;z-index:257;" o:spid="_x0000_s1053" o:allowincell="t" o:allowoverlap="t" filled="t" fillcolor="#ffffff [3212]" stroked="f" strokecolor="#32528f" strokeweight="1pt" o:spt="1">
                <v:fill/>
                <v:stroke linestyle="single" miterlimit="8" endcap="flat" dashstyle="solid"/>
                <v:textbox style="layout-flow:horizontal;"/>
                <v:imagedata o:title=""/>
                <w10:wrap type="none" anchorx="text" anchory="text"/>
              </v:rect>
            </w:pict>
          </mc:Fallback>
        </mc:AlternateContent>
      </w:r>
      <w:r>
        <w:rPr>
          <w:rFonts w:hint="eastAsia"/>
        </w:rPr>
        <w:drawing>
          <wp:anchor distT="0" distB="0" distL="114300" distR="114300" simplePos="0" relativeHeight="255" behindDoc="1" locked="0" layoutInCell="1" hidden="0" allowOverlap="1">
            <wp:simplePos x="0" y="0"/>
            <wp:positionH relativeFrom="column">
              <wp:posOffset>444500</wp:posOffset>
            </wp:positionH>
            <wp:positionV relativeFrom="paragraph">
              <wp:posOffset>17780</wp:posOffset>
            </wp:positionV>
            <wp:extent cx="5347970" cy="1163955"/>
            <wp:effectExtent l="0" t="0" r="0" b="0"/>
            <wp:wrapNone/>
            <wp:docPr id="1054" name="Picture 12"/>
            <a:graphic xmlns:a="http://schemas.openxmlformats.org/drawingml/2006/main">
              <a:graphicData uri="http://schemas.openxmlformats.org/drawingml/2006/picture">
                <pic:pic xmlns:pic="http://schemas.openxmlformats.org/drawingml/2006/picture">
                  <pic:nvPicPr>
                    <pic:cNvPr id="1054" name="Picture 12"/>
                    <pic:cNvPicPr>
                      <a:picLocks noChangeAspect="1" noChangeArrowheads="1"/>
                    </pic:cNvPicPr>
                  </pic:nvPicPr>
                  <pic:blipFill>
                    <a:blip r:embed="rId27"/>
                    <a:srcRect l="24202" t="16240" r="9982" b="26054"/>
                    <a:stretch>
                      <a:fillRect/>
                    </a:stretch>
                  </pic:blipFill>
                  <pic:spPr>
                    <a:xfrm>
                      <a:off x="0" y="0"/>
                      <a:ext cx="5347970" cy="1163955"/>
                    </a:xfrm>
                    <a:prstGeom prst="rect">
                      <a:avLst/>
                    </a:prstGeom>
                    <a:noFill/>
                    <a:ln>
                      <a:noFill/>
                    </a:ln>
                  </pic:spPr>
                </pic:pic>
              </a:graphicData>
            </a:graphic>
          </wp:anchor>
        </w:drawing>
      </w:r>
    </w:p>
    <w:p>
      <w:pPr>
        <w:pStyle w:val="0"/>
        <w:rPr>
          <w:rFonts w:hint="default"/>
        </w:rPr>
      </w:pPr>
      <w:r>
        <w:rPr>
          <w:rFonts w:hint="default"/>
        </w:rPr>
        <mc:AlternateContent>
          <mc:Choice Requires="wps">
            <w:drawing>
              <wp:anchor distT="0" distB="0" distL="114300" distR="114300" simplePos="0" relativeHeight="256" behindDoc="0" locked="0" layoutInCell="1" hidden="0" allowOverlap="1">
                <wp:simplePos x="0" y="0"/>
                <wp:positionH relativeFrom="column">
                  <wp:posOffset>1898650</wp:posOffset>
                </wp:positionH>
                <wp:positionV relativeFrom="paragraph">
                  <wp:posOffset>19050</wp:posOffset>
                </wp:positionV>
                <wp:extent cx="311150" cy="177800"/>
                <wp:effectExtent l="635" t="635" r="29845" b="10795"/>
                <wp:wrapNone/>
                <wp:docPr id="1055" name="正方形/長方形 1304"/>
                <a:graphic xmlns:a="http://schemas.openxmlformats.org/drawingml/2006/main">
                  <a:graphicData uri="http://schemas.microsoft.com/office/word/2010/wordprocessingShape">
                    <wps:wsp>
                      <wps:cNvPr id="1055" name="正方形/長方形 1304"/>
                      <wps:cNvSpPr/>
                      <wps:spPr>
                        <a:xfrm>
                          <a:off x="0" y="0"/>
                          <a:ext cx="31115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04" style="mso-wrap-distance-right:9pt;mso-wrap-distance-bottom:0pt;margin-top:1.5pt;mso-position-vertical-relative:text;mso-position-horizontal-relative:text;position:absolute;height:14pt;mso-wrap-distance-top:0pt;width:24.5pt;mso-wrap-distance-left:9pt;margin-left:149.5pt;z-index:256;" o:spid="_x0000_s1055"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drawing>
          <wp:anchor distT="0" distB="0" distL="114300" distR="114300" simplePos="0" relativeHeight="6" behindDoc="0" locked="0" layoutInCell="1" hidden="0" allowOverlap="1">
            <wp:simplePos x="0" y="0"/>
            <wp:positionH relativeFrom="column">
              <wp:posOffset>55880</wp:posOffset>
            </wp:positionH>
            <wp:positionV relativeFrom="paragraph">
              <wp:posOffset>121285</wp:posOffset>
            </wp:positionV>
            <wp:extent cx="5942965" cy="2734310"/>
            <wp:effectExtent l="0" t="0" r="0" b="0"/>
            <wp:wrapNone/>
            <wp:docPr id="1056" name="Picture 6"/>
            <a:graphic xmlns:a="http://schemas.openxmlformats.org/drawingml/2006/main">
              <a:graphicData uri="http://schemas.openxmlformats.org/drawingml/2006/picture">
                <pic:pic xmlns:pic="http://schemas.openxmlformats.org/drawingml/2006/picture">
                  <pic:nvPicPr>
                    <pic:cNvPr id="1056" name="Picture 6"/>
                    <pic:cNvPicPr>
                      <a:picLocks noChangeAspect="1" noChangeArrowheads="1"/>
                    </pic:cNvPicPr>
                  </pic:nvPicPr>
                  <pic:blipFill>
                    <a:blip r:embed="rId28"/>
                    <a:srcRect l="12405" t="10603" r="10603" b="25984"/>
                    <a:stretch>
                      <a:fillRect/>
                    </a:stretch>
                  </pic:blipFill>
                  <pic:spPr>
                    <a:xfrm>
                      <a:off x="0" y="0"/>
                      <a:ext cx="5942965" cy="273431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0"/>
        <w:ind w:left="0" w:leftChars="0" w:firstLine="240"/>
        <w:rPr>
          <w:rFonts w:hint="default"/>
        </w:rPr>
      </w:pPr>
      <w:r>
        <w:rPr>
          <w:rFonts w:hint="eastAsia"/>
          <w:sz w:val="24"/>
        </w:rPr>
        <w:t>日中の過ごし方については、【第１号（自立）】と【要介護】は「誰かと過ごしていて、ほとんど１人で過ごすことはない」（自立</w:t>
      </w:r>
      <w:r>
        <w:rPr>
          <w:rFonts w:hint="eastAsia"/>
          <w:sz w:val="24"/>
        </w:rPr>
        <w:t>54.4</w:t>
      </w:r>
      <w:r>
        <w:rPr>
          <w:rFonts w:hint="eastAsia"/>
          <w:sz w:val="24"/>
        </w:rPr>
        <w:t>％、要介護</w:t>
      </w:r>
      <w:r>
        <w:rPr>
          <w:rFonts w:hint="eastAsia"/>
          <w:sz w:val="24"/>
        </w:rPr>
        <w:t>52.9</w:t>
      </w:r>
      <w:r>
        <w:rPr>
          <w:rFonts w:hint="eastAsia"/>
          <w:sz w:val="24"/>
        </w:rPr>
        <w:t>％）が最も多くなっています。「１人で過ごすことが多い」の割合は【第１号（要支援）】（</w:t>
      </w:r>
      <w:r>
        <w:rPr>
          <w:rFonts w:hint="eastAsia"/>
          <w:sz w:val="24"/>
        </w:rPr>
        <w:t>57.4</w:t>
      </w:r>
      <w:r>
        <w:rPr>
          <w:rFonts w:hint="eastAsia"/>
          <w:sz w:val="24"/>
        </w:rPr>
        <w:t>％）で最も高く、「１人で過ごすことがたまにある」は【第１号（総合事業対象者）】（</w:t>
      </w:r>
      <w:r>
        <w:rPr>
          <w:rFonts w:hint="eastAsia"/>
          <w:sz w:val="24"/>
        </w:rPr>
        <w:t>23.5</w:t>
      </w:r>
      <w:r>
        <w:rPr>
          <w:rFonts w:hint="eastAsia"/>
          <w:sz w:val="24"/>
        </w:rPr>
        <w:t>％）で最も高くなっています。</w:t>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w:t>
      </w:r>
      <w:r>
        <w:rPr>
          <w:rFonts w:hint="default" w:ascii="ＭＳ ゴシック" w:hAnsi="ＭＳ ゴシック" w:eastAsia="ＭＳ ゴシック"/>
          <w:sz w:val="21"/>
        </w:rPr>
        <w:t>1</w:t>
      </w:r>
      <w:r>
        <w:rPr>
          <w:rFonts w:hint="eastAsia" w:ascii="ＭＳ ゴシック" w:hAnsi="ＭＳ ゴシック" w:eastAsia="ＭＳ ゴシック"/>
          <w:sz w:val="21"/>
        </w:rPr>
        <w:t>：日中の過ごし方</w:t>
      </w:r>
    </w:p>
    <w:p>
      <w:pPr>
        <w:pStyle w:val="0"/>
        <w:rPr>
          <w:rFonts w:hint="default"/>
        </w:rPr>
      </w:pPr>
      <w:r>
        <w:rPr>
          <w:rFonts w:hint="default"/>
        </w:rPr>
        <w:drawing>
          <wp:anchor distT="0" distB="0" distL="114300" distR="114300" simplePos="0" relativeHeight="7" behindDoc="0" locked="0" layoutInCell="1" hidden="0" allowOverlap="1">
            <wp:simplePos x="0" y="0"/>
            <wp:positionH relativeFrom="column">
              <wp:posOffset>245110</wp:posOffset>
            </wp:positionH>
            <wp:positionV relativeFrom="paragraph">
              <wp:posOffset>12700</wp:posOffset>
            </wp:positionV>
            <wp:extent cx="5667375" cy="2414270"/>
            <wp:effectExtent l="0" t="0" r="0" b="0"/>
            <wp:wrapNone/>
            <wp:docPr id="1057" name="Picture 7"/>
            <a:graphic xmlns:a="http://schemas.openxmlformats.org/drawingml/2006/main">
              <a:graphicData uri="http://schemas.openxmlformats.org/drawingml/2006/picture">
                <pic:pic xmlns:pic="http://schemas.openxmlformats.org/drawingml/2006/picture">
                  <pic:nvPicPr>
                    <pic:cNvPr id="1057" name="Picture 7"/>
                    <pic:cNvPicPr>
                      <a:picLocks noChangeAspect="1" noChangeArrowheads="1"/>
                    </pic:cNvPicPr>
                  </pic:nvPicPr>
                  <pic:blipFill>
                    <a:blip r:embed="rId29"/>
                    <a:srcRect l="12271" t="15627" r="10204" b="25237"/>
                    <a:stretch>
                      <a:fillRect/>
                    </a:stretch>
                  </pic:blipFill>
                  <pic:spPr>
                    <a:xfrm>
                      <a:off x="0" y="0"/>
                      <a:ext cx="5667375" cy="241427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介護・介助の必要性については、【第１号（自立）】は「介護・介助は必要ない」が</w:t>
      </w:r>
      <w:r>
        <w:rPr>
          <w:rFonts w:hint="eastAsia"/>
        </w:rPr>
        <w:t>89.7</w:t>
      </w:r>
      <w:r>
        <w:rPr>
          <w:rFonts w:hint="eastAsia"/>
        </w:rPr>
        <w:t>％で最も多くなっています。「介護・介助は必要ない」の割合は【第１号（自立）】で最も高く、「何らかの介護・介助は必要だが、現在は受けていない」と「現在、何らかの介護を受けている」はともに【第１号（要支援）】で最も高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22</w:t>
      </w:r>
      <w:r>
        <w:rPr>
          <w:rFonts w:hint="eastAsia" w:ascii="ＭＳ ゴシック" w:hAnsi="ＭＳ ゴシック" w:eastAsia="ＭＳ ゴシック"/>
          <w:sz w:val="21"/>
        </w:rPr>
        <w:t>：介護・介助の必要性</w:t>
      </w:r>
    </w:p>
    <w:p>
      <w:pPr>
        <w:pStyle w:val="0"/>
        <w:rPr>
          <w:rFonts w:hint="default"/>
        </w:rPr>
      </w:pPr>
      <w:r>
        <w:rPr>
          <w:rFonts w:hint="default"/>
        </w:rPr>
        <w:drawing>
          <wp:anchor distT="0" distB="0" distL="114300" distR="114300" simplePos="0" relativeHeight="8" behindDoc="0" locked="0" layoutInCell="1" hidden="0" allowOverlap="1">
            <wp:simplePos x="0" y="0"/>
            <wp:positionH relativeFrom="column">
              <wp:posOffset>245110</wp:posOffset>
            </wp:positionH>
            <wp:positionV relativeFrom="paragraph">
              <wp:posOffset>20320</wp:posOffset>
            </wp:positionV>
            <wp:extent cx="5761990" cy="2277110"/>
            <wp:effectExtent l="0" t="0" r="0" b="0"/>
            <wp:wrapNone/>
            <wp:docPr id="1058" name="Picture 8"/>
            <a:graphic xmlns:a="http://schemas.openxmlformats.org/drawingml/2006/main">
              <a:graphicData uri="http://schemas.openxmlformats.org/drawingml/2006/picture">
                <pic:pic xmlns:pic="http://schemas.openxmlformats.org/drawingml/2006/picture">
                  <pic:nvPicPr>
                    <pic:cNvPr id="1058" name="Picture 8"/>
                    <pic:cNvPicPr>
                      <a:picLocks noChangeAspect="1" noChangeArrowheads="1"/>
                    </pic:cNvPicPr>
                  </pic:nvPicPr>
                  <pic:blipFill>
                    <a:blip r:embed="rId30"/>
                    <a:srcRect l="11794" t="11346" r="9418" b="27522"/>
                    <a:stretch>
                      <a:fillRect/>
                    </a:stretch>
                  </pic:blipFill>
                  <pic:spPr>
                    <a:xfrm>
                      <a:off x="0" y="0"/>
                      <a:ext cx="5761990" cy="227711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外出について</w:t>
      </w:r>
    </w:p>
    <w:p>
      <w:pPr>
        <w:pStyle w:val="0"/>
        <w:ind w:firstLine="240" w:firstLineChars="100"/>
        <w:jc w:val="both"/>
        <w:rPr>
          <w:rFonts w:hint="default"/>
        </w:rPr>
      </w:pPr>
      <w:r>
        <w:rPr>
          <w:rFonts w:hint="eastAsia"/>
        </w:rPr>
        <w:t>週に１回以上は外出しているかについては、【第２号】と【第１号（自立）】は、「週５回以上」（第２号</w:t>
      </w:r>
      <w:r>
        <w:rPr>
          <w:rFonts w:hint="eastAsia"/>
        </w:rPr>
        <w:t>79.0</w:t>
      </w:r>
      <w:r>
        <w:rPr>
          <w:rFonts w:hint="eastAsia"/>
        </w:rPr>
        <w:t>％、自立</w:t>
      </w:r>
      <w:r>
        <w:rPr>
          <w:rFonts w:hint="eastAsia"/>
        </w:rPr>
        <w:t>49.9</w:t>
      </w:r>
      <w:r>
        <w:rPr>
          <w:rFonts w:hint="eastAsia"/>
        </w:rPr>
        <w:t>％）で最も多いですが、【第１号（総合事業対象者）】、【第１号（要支援）】、【要介護】は「週２～４回」（総合</w:t>
      </w:r>
      <w:r>
        <w:rPr>
          <w:rFonts w:hint="eastAsia"/>
        </w:rPr>
        <w:t>56.8</w:t>
      </w:r>
      <w:r>
        <w:rPr>
          <w:rFonts w:hint="eastAsia"/>
        </w:rPr>
        <w:t>％、要支援</w:t>
      </w:r>
      <w:r>
        <w:rPr>
          <w:rFonts w:hint="eastAsia"/>
        </w:rPr>
        <w:t>51.5</w:t>
      </w:r>
      <w:r>
        <w:rPr>
          <w:rFonts w:hint="eastAsia"/>
        </w:rPr>
        <w:t>％、要介護</w:t>
      </w:r>
      <w:r>
        <w:rPr>
          <w:rFonts w:hint="eastAsia"/>
        </w:rPr>
        <w:t>41.2</w:t>
      </w:r>
      <w:r>
        <w:rPr>
          <w:rFonts w:hint="eastAsia"/>
        </w:rPr>
        <w:t>％）が最も多くなっています。「ほとんど外出しない」の割合は【要介護】（</w:t>
      </w:r>
      <w:r>
        <w:rPr>
          <w:rFonts w:hint="eastAsia"/>
        </w:rPr>
        <w:t>39.7</w:t>
      </w:r>
      <w:r>
        <w:rPr>
          <w:rFonts w:hint="eastAsia"/>
        </w:rPr>
        <w:t>％）で最も高く、次いで【第１号（要支援）】（</w:t>
      </w:r>
      <w:r>
        <w:rPr>
          <w:rFonts w:hint="eastAsia"/>
        </w:rPr>
        <w:t>16.2</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12" behindDoc="0" locked="0" layoutInCell="1" hidden="0" allowOverlap="1">
            <wp:simplePos x="0" y="0"/>
            <wp:positionH relativeFrom="column">
              <wp:posOffset>-38735</wp:posOffset>
            </wp:positionH>
            <wp:positionV relativeFrom="paragraph">
              <wp:posOffset>73025</wp:posOffset>
            </wp:positionV>
            <wp:extent cx="5977890" cy="2992755"/>
            <wp:effectExtent l="0" t="0" r="0" b="0"/>
            <wp:wrapNone/>
            <wp:docPr id="1059" name="Picture 20"/>
            <a:graphic xmlns:a="http://schemas.openxmlformats.org/drawingml/2006/main">
              <a:graphicData uri="http://schemas.openxmlformats.org/drawingml/2006/picture">
                <pic:pic xmlns:pic="http://schemas.openxmlformats.org/drawingml/2006/picture">
                  <pic:nvPicPr>
                    <pic:cNvPr id="1059" name="Picture 20"/>
                    <pic:cNvPicPr>
                      <a:picLocks noChangeAspect="1" noChangeArrowheads="1"/>
                    </pic:cNvPicPr>
                  </pic:nvPicPr>
                  <pic:blipFill>
                    <a:blip r:embed="rId31"/>
                    <a:srcRect l="11845" t="11765" r="10722" b="24442"/>
                    <a:stretch>
                      <a:fillRect/>
                    </a:stretch>
                  </pic:blipFill>
                  <pic:spPr>
                    <a:xfrm>
                      <a:off x="0" y="0"/>
                      <a:ext cx="5977890" cy="2992755"/>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23</w:t>
      </w:r>
      <w:r>
        <w:rPr>
          <w:rFonts w:hint="eastAsia" w:ascii="ＭＳ ゴシック" w:hAnsi="ＭＳ ゴシック" w:eastAsia="ＭＳ ゴシック"/>
          <w:sz w:val="21"/>
        </w:rPr>
        <w:t>：外出頻度</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外出を控えているかについては、「はい」の割合は【第１号（要支援）】（</w:t>
      </w:r>
      <w:r>
        <w:rPr>
          <w:rFonts w:hint="eastAsia"/>
        </w:rPr>
        <w:t>57.4</w:t>
      </w:r>
      <w:r>
        <w:rPr>
          <w:rFonts w:hint="eastAsia"/>
        </w:rPr>
        <w:t>％）が最も高く、次いで【第１号（総合事業対象者）】（</w:t>
      </w:r>
      <w:r>
        <w:rPr>
          <w:rFonts w:hint="eastAsia"/>
        </w:rPr>
        <w:t>51.9</w:t>
      </w:r>
      <w:r>
        <w:rPr>
          <w:rFonts w:hint="eastAsia"/>
        </w:rPr>
        <w:t>％）、【要介護】（</w:t>
      </w:r>
      <w:r>
        <w:rPr>
          <w:rFonts w:hint="eastAsia"/>
        </w:rPr>
        <w:t>42.6</w:t>
      </w:r>
      <w:r>
        <w:rPr>
          <w:rFonts w:hint="eastAsia"/>
        </w:rPr>
        <w:t>％）、【第１号（自立）】（</w:t>
      </w:r>
      <w:r>
        <w:rPr>
          <w:rFonts w:hint="eastAsia"/>
        </w:rPr>
        <w:t>11.8</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24</w:t>
      </w:r>
      <w:r>
        <w:rPr>
          <w:rFonts w:hint="eastAsia" w:ascii="ＭＳ ゴシック" w:hAnsi="ＭＳ ゴシック" w:eastAsia="ＭＳ ゴシック"/>
          <w:sz w:val="21"/>
        </w:rPr>
        <w:t>：外出控え</w:t>
      </w:r>
    </w:p>
    <w:p>
      <w:pPr>
        <w:pStyle w:val="0"/>
        <w:rPr>
          <w:rFonts w:hint="default"/>
        </w:rPr>
      </w:pPr>
      <w:r>
        <w:rPr>
          <w:rFonts w:hint="default"/>
        </w:rPr>
        <w:drawing>
          <wp:anchor distT="0" distB="0" distL="114300" distR="114300" simplePos="0" relativeHeight="13" behindDoc="0" locked="0" layoutInCell="1" hidden="0" allowOverlap="1">
            <wp:simplePos x="0" y="0"/>
            <wp:positionH relativeFrom="column">
              <wp:posOffset>22225</wp:posOffset>
            </wp:positionH>
            <wp:positionV relativeFrom="paragraph">
              <wp:posOffset>16510</wp:posOffset>
            </wp:positionV>
            <wp:extent cx="6003925" cy="2371725"/>
            <wp:effectExtent l="0" t="0" r="0" b="0"/>
            <wp:wrapNone/>
            <wp:docPr id="1060" name="Picture 22"/>
            <a:graphic xmlns:a="http://schemas.openxmlformats.org/drawingml/2006/main">
              <a:graphicData uri="http://schemas.openxmlformats.org/drawingml/2006/picture">
                <pic:pic xmlns:pic="http://schemas.openxmlformats.org/drawingml/2006/picture">
                  <pic:nvPicPr>
                    <pic:cNvPr id="1060" name="Picture 22"/>
                    <pic:cNvPicPr>
                      <a:picLocks noChangeAspect="1" noChangeArrowheads="1"/>
                    </pic:cNvPicPr>
                  </pic:nvPicPr>
                  <pic:blipFill>
                    <a:blip r:embed="rId32"/>
                    <a:srcRect l="12068" t="19006" r="10152" b="25980"/>
                    <a:stretch>
                      <a:fillRect/>
                    </a:stretch>
                  </pic:blipFill>
                  <pic:spPr>
                    <a:xfrm>
                      <a:off x="0" y="0"/>
                      <a:ext cx="6003925" cy="237172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外出を控えていると回答した人に、その理由をたずねると、いずれも「足腰などの痛み」が最も多く、次いで【第１号（自立）】は「外での楽しみがない」（</w:t>
      </w:r>
      <w:r>
        <w:rPr>
          <w:rFonts w:hint="eastAsia"/>
        </w:rPr>
        <w:t>21.3</w:t>
      </w:r>
      <w:r>
        <w:rPr>
          <w:rFonts w:hint="eastAsia"/>
        </w:rPr>
        <w:t>％）、【第１号（総合事業対象者）】は「トイレの心配（失禁など）」と「交通手段がない」（ともに</w:t>
      </w:r>
      <w:r>
        <w:rPr>
          <w:rFonts w:hint="eastAsia"/>
        </w:rPr>
        <w:t>23.8</w:t>
      </w:r>
      <w:r>
        <w:rPr>
          <w:rFonts w:hint="eastAsia"/>
        </w:rPr>
        <w:t>％）、【第１号（要支援）】は「病気」（</w:t>
      </w:r>
      <w:r>
        <w:rPr>
          <w:rFonts w:hint="eastAsia"/>
        </w:rPr>
        <w:t>20.5</w:t>
      </w:r>
      <w:r>
        <w:rPr>
          <w:rFonts w:hint="eastAsia"/>
        </w:rPr>
        <w:t>％）、【要介護】は「トイレの心配（失禁など）」（</w:t>
      </w:r>
      <w:r>
        <w:rPr>
          <w:rFonts w:hint="eastAsia"/>
        </w:rPr>
        <w:t>37.9</w:t>
      </w:r>
      <w:r>
        <w:rPr>
          <w:rFonts w:hint="eastAsia"/>
        </w:rPr>
        <w:t>％）が続いています。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25</w:t>
      </w:r>
      <w:r>
        <w:rPr>
          <w:rFonts w:hint="eastAsia" w:ascii="ＭＳ ゴシック" w:hAnsi="ＭＳ ゴシック" w:eastAsia="ＭＳ ゴシック"/>
          <w:sz w:val="21"/>
        </w:rPr>
        <w:t>：外出を控えている理由</w:t>
      </w:r>
    </w:p>
    <w:p>
      <w:pPr>
        <w:pStyle w:val="0"/>
        <w:rPr>
          <w:rFonts w:hint="default"/>
        </w:rPr>
      </w:pPr>
      <w:r>
        <w:rPr>
          <w:rFonts w:hint="default"/>
        </w:rPr>
        <w:drawing>
          <wp:anchor distT="0" distB="0" distL="114300" distR="114300" simplePos="0" relativeHeight="14" behindDoc="0" locked="0" layoutInCell="1" hidden="0" allowOverlap="1">
            <wp:simplePos x="0" y="0"/>
            <wp:positionH relativeFrom="column">
              <wp:posOffset>334010</wp:posOffset>
            </wp:positionH>
            <wp:positionV relativeFrom="paragraph">
              <wp:posOffset>36195</wp:posOffset>
            </wp:positionV>
            <wp:extent cx="5602605" cy="6294120"/>
            <wp:effectExtent l="0" t="0" r="0" b="0"/>
            <wp:wrapNone/>
            <wp:docPr id="1061" name="Picture 23"/>
            <a:graphic xmlns:a="http://schemas.openxmlformats.org/drawingml/2006/main">
              <a:graphicData uri="http://schemas.openxmlformats.org/drawingml/2006/picture">
                <pic:pic xmlns:pic="http://schemas.openxmlformats.org/drawingml/2006/picture">
                  <pic:nvPicPr>
                    <pic:cNvPr id="1061" name="Picture 23"/>
                    <pic:cNvPicPr>
                      <a:picLocks noChangeAspect="1" noChangeArrowheads="1"/>
                    </pic:cNvPicPr>
                  </pic:nvPicPr>
                  <pic:blipFill>
                    <a:blip r:embed="rId33"/>
                    <a:srcRect l="12457" t="2196" r="8450" b="4950"/>
                    <a:stretch>
                      <a:fillRect/>
                    </a:stretch>
                  </pic:blipFill>
                  <pic:spPr>
                    <a:xfrm>
                      <a:off x="0" y="0"/>
                      <a:ext cx="5602605" cy="629412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外出する際の移動手段については、【第２号】、【第１号（自立）】、【第１号（総合事業対象者）】は「徒歩」が最も多いですが、【第１号（要支援）】は「タクシー」（</w:t>
      </w:r>
      <w:r>
        <w:rPr>
          <w:rFonts w:hint="eastAsia"/>
        </w:rPr>
        <w:t>42.6</w:t>
      </w:r>
      <w:r>
        <w:rPr>
          <w:rFonts w:hint="eastAsia"/>
        </w:rPr>
        <w:t>％）、【要介護】は「自動車（人に乗せてもらう）」（</w:t>
      </w:r>
      <w:r>
        <w:rPr>
          <w:rFonts w:hint="eastAsia"/>
        </w:rPr>
        <w:t>39.7</w:t>
      </w:r>
      <w:r>
        <w:rPr>
          <w:rFonts w:hint="eastAsia"/>
        </w:rPr>
        <w:t>％）が最も多くなっています。「徒歩」、「自転車」、「バイク」、「自動車（自分で運転）」、「電車」、「路線バス」、「電動車いす（カート）」はいずれも【要介護】で最も低い割合となっています。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26</w:t>
      </w:r>
      <w:r>
        <w:rPr>
          <w:rFonts w:hint="eastAsia" w:ascii="ＭＳ ゴシック" w:hAnsi="ＭＳ ゴシック" w:eastAsia="ＭＳ ゴシック"/>
          <w:sz w:val="21"/>
        </w:rPr>
        <w:t>：外出する際の移動手段</w:t>
      </w:r>
    </w:p>
    <w:p>
      <w:pPr>
        <w:pStyle w:val="0"/>
        <w:rPr>
          <w:rFonts w:hint="default"/>
        </w:rPr>
      </w:pPr>
      <w:r>
        <w:rPr>
          <w:rFonts w:hint="default"/>
        </w:rPr>
        <w:drawing>
          <wp:anchor distT="0" distB="0" distL="114300" distR="114300" simplePos="0" relativeHeight="15" behindDoc="0" locked="0" layoutInCell="1" hidden="0" allowOverlap="1">
            <wp:simplePos x="0" y="0"/>
            <wp:positionH relativeFrom="column">
              <wp:posOffset>78740</wp:posOffset>
            </wp:positionH>
            <wp:positionV relativeFrom="paragraph">
              <wp:posOffset>15240</wp:posOffset>
            </wp:positionV>
            <wp:extent cx="6197600" cy="6687820"/>
            <wp:effectExtent l="0" t="0" r="0" b="0"/>
            <wp:wrapNone/>
            <wp:docPr id="1062" name="Picture 24"/>
            <a:graphic xmlns:a="http://schemas.openxmlformats.org/drawingml/2006/main">
              <a:graphicData uri="http://schemas.openxmlformats.org/drawingml/2006/picture">
                <pic:pic xmlns:pic="http://schemas.openxmlformats.org/drawingml/2006/picture">
                  <pic:nvPicPr>
                    <pic:cNvPr id="1062" name="Picture 24"/>
                    <pic:cNvPicPr>
                      <a:picLocks noChangeAspect="1" noChangeArrowheads="1"/>
                    </pic:cNvPicPr>
                  </pic:nvPicPr>
                  <pic:blipFill>
                    <a:blip r:embed="rId34"/>
                    <a:srcRect l="10951" t="2943" r="7207" b="4507"/>
                    <a:stretch>
                      <a:fillRect/>
                    </a:stretch>
                  </pic:blipFill>
                  <pic:spPr>
                    <a:xfrm>
                      <a:off x="0" y="0"/>
                      <a:ext cx="6197600" cy="668782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認知症について</w:t>
      </w:r>
    </w:p>
    <w:p>
      <w:pPr>
        <w:pStyle w:val="0"/>
        <w:ind w:firstLine="240" w:firstLineChars="100"/>
        <w:jc w:val="both"/>
        <w:rPr>
          <w:rFonts w:hint="default"/>
        </w:rPr>
      </w:pPr>
      <w:r>
        <w:rPr>
          <w:rFonts w:hint="eastAsia"/>
        </w:rPr>
        <w:t>本人や家族に認知症の症状があるかについては、【第１号（自立）】は「はい」が</w:t>
      </w:r>
      <w:r>
        <w:rPr>
          <w:rFonts w:hint="eastAsia"/>
        </w:rPr>
        <w:t>5.0</w:t>
      </w:r>
      <w:r>
        <w:rPr>
          <w:rFonts w:hint="eastAsia"/>
        </w:rPr>
        <w:t>％、「いいえ」が</w:t>
      </w:r>
      <w:r>
        <w:rPr>
          <w:rFonts w:hint="eastAsia"/>
        </w:rPr>
        <w:t>89.4</w:t>
      </w:r>
      <w:r>
        <w:rPr>
          <w:rFonts w:hint="eastAsia"/>
        </w:rPr>
        <w:t>％となっています。「はい」の割合は【第１号（総合事業対象者）】（</w:t>
      </w:r>
      <w:r>
        <w:rPr>
          <w:rFonts w:hint="eastAsia"/>
        </w:rPr>
        <w:t>13.6</w:t>
      </w:r>
      <w:r>
        <w:rPr>
          <w:rFonts w:hint="eastAsia"/>
        </w:rPr>
        <w:t>％）で最も高く、次いで【第１号（要支援）】（</w:t>
      </w:r>
      <w:r>
        <w:rPr>
          <w:rFonts w:hint="eastAsia"/>
        </w:rPr>
        <w:t>7.4</w:t>
      </w:r>
      <w:r>
        <w:rPr>
          <w:rFonts w:hint="eastAsia"/>
        </w:rPr>
        <w:t>％）となっています。</w:t>
      </w:r>
    </w:p>
    <w:p>
      <w:pPr>
        <w:pStyle w:val="0"/>
        <w:ind w:firstLine="240" w:firstLineChars="10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27</w:t>
      </w:r>
      <w:r>
        <w:rPr>
          <w:rFonts w:hint="eastAsia" w:ascii="ＭＳ ゴシック" w:hAnsi="ＭＳ ゴシック" w:eastAsia="ＭＳ ゴシック"/>
          <w:sz w:val="21"/>
        </w:rPr>
        <w:t>：認知症の症状がある人の有無</w:t>
      </w:r>
    </w:p>
    <w:p>
      <w:pPr>
        <w:pStyle w:val="0"/>
        <w:ind w:firstLine="240" w:firstLineChars="100"/>
        <w:rPr>
          <w:rFonts w:hint="default"/>
        </w:rPr>
      </w:pPr>
      <w:r>
        <w:rPr>
          <w:rFonts w:hint="default"/>
        </w:rPr>
        <w:drawing>
          <wp:anchor distT="0" distB="0" distL="114300" distR="114300" simplePos="0" relativeHeight="16" behindDoc="0" locked="0" layoutInCell="1" hidden="0" allowOverlap="1">
            <wp:simplePos x="0" y="0"/>
            <wp:positionH relativeFrom="column">
              <wp:posOffset>133985</wp:posOffset>
            </wp:positionH>
            <wp:positionV relativeFrom="paragraph">
              <wp:posOffset>31115</wp:posOffset>
            </wp:positionV>
            <wp:extent cx="5953760" cy="1955800"/>
            <wp:effectExtent l="0" t="0" r="0" b="0"/>
            <wp:wrapNone/>
            <wp:docPr id="1063" name="Picture 1"/>
            <a:graphic xmlns:a="http://schemas.openxmlformats.org/drawingml/2006/main">
              <a:graphicData uri="http://schemas.openxmlformats.org/drawingml/2006/picture">
                <pic:pic xmlns:pic="http://schemas.openxmlformats.org/drawingml/2006/picture">
                  <pic:nvPicPr>
                    <pic:cNvPr id="1063" name="Picture 1"/>
                    <pic:cNvPicPr>
                      <a:picLocks noChangeAspect="1" noChangeArrowheads="1"/>
                    </pic:cNvPicPr>
                  </pic:nvPicPr>
                  <pic:blipFill>
                    <a:blip r:embed="rId35"/>
                    <a:srcRect l="12041" t="22000" r="10460" b="28017"/>
                    <a:stretch>
                      <a:fillRect/>
                    </a:stretch>
                  </pic:blipFill>
                  <pic:spPr>
                    <a:xfrm>
                      <a:off x="0" y="0"/>
                      <a:ext cx="5953760" cy="1955800"/>
                    </a:xfrm>
                    <a:prstGeom prst="rect">
                      <a:avLst/>
                    </a:prstGeom>
                    <a:noFill/>
                    <a:ln>
                      <a:noFill/>
                    </a:ln>
                  </pic:spPr>
                </pic:pic>
              </a:graphicData>
            </a:graphic>
          </wp:anchor>
        </w:drawing>
      </w: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rPr>
          <w:rFonts w:hint="default"/>
        </w:rPr>
      </w:pPr>
    </w:p>
    <w:p>
      <w:pPr>
        <w:pStyle w:val="0"/>
        <w:ind w:firstLine="240" w:firstLineChars="100"/>
        <w:jc w:val="both"/>
        <w:rPr>
          <w:rFonts w:hint="default"/>
        </w:rPr>
      </w:pPr>
      <w:r>
        <w:rPr>
          <w:rFonts w:hint="eastAsia"/>
        </w:rPr>
        <w:t>認知症に関する相談窓口を知っているかについては、【第１号（自立）】は「はい」が</w:t>
      </w:r>
      <w:r>
        <w:rPr>
          <w:rFonts w:hint="eastAsia"/>
        </w:rPr>
        <w:t>28.2</w:t>
      </w:r>
      <w:r>
        <w:rPr>
          <w:rFonts w:hint="eastAsia"/>
        </w:rPr>
        <w:t>％、「いいえ」が</w:t>
      </w:r>
      <w:r>
        <w:rPr>
          <w:rFonts w:hint="eastAsia"/>
        </w:rPr>
        <w:t>66.5</w:t>
      </w:r>
      <w:r>
        <w:rPr>
          <w:rFonts w:hint="eastAsia"/>
        </w:rPr>
        <w:t>％となっています。「はい」の割合は【第１号（総合事業対象者）】（</w:t>
      </w:r>
      <w:r>
        <w:rPr>
          <w:rFonts w:hint="eastAsia"/>
        </w:rPr>
        <w:t>51.9</w:t>
      </w:r>
      <w:r>
        <w:rPr>
          <w:rFonts w:hint="eastAsia"/>
        </w:rPr>
        <w:t>％）で最も高く、次いで【第１号（要支援）】（</w:t>
      </w:r>
      <w:r>
        <w:rPr>
          <w:rFonts w:hint="eastAsia"/>
        </w:rPr>
        <w:t>41.2</w:t>
      </w:r>
      <w:r>
        <w:rPr>
          <w:rFonts w:hint="eastAsia"/>
        </w:rPr>
        <w:t>％）となっています。</w:t>
      </w:r>
    </w:p>
    <w:p>
      <w:pPr>
        <w:pStyle w:val="0"/>
        <w:ind w:firstLine="240" w:firstLineChars="10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28</w:t>
      </w:r>
      <w:r>
        <w:rPr>
          <w:rFonts w:hint="eastAsia" w:ascii="ＭＳ ゴシック" w:hAnsi="ＭＳ ゴシック" w:eastAsia="ＭＳ ゴシック"/>
          <w:sz w:val="21"/>
        </w:rPr>
        <w:t>：認知症に関する相談窓口の認知度</w:t>
      </w:r>
    </w:p>
    <w:p>
      <w:pPr>
        <w:pStyle w:val="0"/>
        <w:rPr>
          <w:rFonts w:hint="default"/>
        </w:rPr>
      </w:pPr>
      <w:r>
        <w:rPr>
          <w:rFonts w:hint="default"/>
        </w:rPr>
        <w:drawing>
          <wp:anchor distT="0" distB="0" distL="114300" distR="114300" simplePos="0" relativeHeight="17" behindDoc="0" locked="0" layoutInCell="1" hidden="0" allowOverlap="1">
            <wp:simplePos x="0" y="0"/>
            <wp:positionH relativeFrom="column">
              <wp:posOffset>132080</wp:posOffset>
            </wp:positionH>
            <wp:positionV relativeFrom="paragraph">
              <wp:posOffset>15240</wp:posOffset>
            </wp:positionV>
            <wp:extent cx="5953125" cy="1998345"/>
            <wp:effectExtent l="0" t="0" r="0" b="0"/>
            <wp:wrapNone/>
            <wp:docPr id="1064" name="Picture 2"/>
            <a:graphic xmlns:a="http://schemas.openxmlformats.org/drawingml/2006/main">
              <a:graphicData uri="http://schemas.openxmlformats.org/drawingml/2006/picture">
                <pic:pic xmlns:pic="http://schemas.openxmlformats.org/drawingml/2006/picture">
                  <pic:nvPicPr>
                    <pic:cNvPr id="1064" name="Picture 2"/>
                    <pic:cNvPicPr>
                      <a:picLocks noChangeAspect="1" noChangeArrowheads="1"/>
                    </pic:cNvPicPr>
                  </pic:nvPicPr>
                  <pic:blipFill>
                    <a:blip r:embed="rId36"/>
                    <a:srcRect l="12259" t="21101" r="10619" b="28036"/>
                    <a:stretch>
                      <a:fillRect/>
                    </a:stretch>
                  </pic:blipFill>
                  <pic:spPr>
                    <a:xfrm>
                      <a:off x="0" y="0"/>
                      <a:ext cx="5953125" cy="199834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認知症に関する相談窓口を知っていると回答した人に、知っている窓口をたずねると、【第２号】は「医療機関など（病院・歯科医院・薬局）」（</w:t>
      </w:r>
      <w:r>
        <w:rPr>
          <w:rFonts w:hint="eastAsia"/>
        </w:rPr>
        <w:t>56.7</w:t>
      </w:r>
      <w:r>
        <w:rPr>
          <w:rFonts w:hint="eastAsia"/>
        </w:rPr>
        <w:t>％）が最も多く、次いで「市役所」（</w:t>
      </w:r>
      <w:r>
        <w:rPr>
          <w:rFonts w:hint="eastAsia"/>
        </w:rPr>
        <w:t>41.7</w:t>
      </w:r>
      <w:r>
        <w:rPr>
          <w:rFonts w:hint="eastAsia"/>
        </w:rPr>
        <w:t>％）となっています。【第１号（自立）】は「医療機関など（病院・歯科医院・薬局）」（</w:t>
      </w:r>
      <w:r>
        <w:rPr>
          <w:rFonts w:hint="eastAsia"/>
        </w:rPr>
        <w:t>59.8</w:t>
      </w:r>
      <w:r>
        <w:rPr>
          <w:rFonts w:hint="eastAsia"/>
        </w:rPr>
        <w:t>％）、【第１号（総合事業対象者）】は「高齢者くらしサポート（地域包括支援センター）」（</w:t>
      </w:r>
      <w:r>
        <w:rPr>
          <w:rFonts w:hint="eastAsia"/>
        </w:rPr>
        <w:t>64.3</w:t>
      </w:r>
      <w:r>
        <w:rPr>
          <w:rFonts w:hint="eastAsia"/>
        </w:rPr>
        <w:t>％）が最も多く、【第１号（要支援）】は「高齢者くらしサポート（地域包括支援センター）」と「医療機関など（病院・歯科医院・薬局）」（ともに</w:t>
      </w:r>
      <w:r>
        <w:rPr>
          <w:rFonts w:hint="eastAsia"/>
        </w:rPr>
        <w:t>64.3</w:t>
      </w:r>
      <w:r>
        <w:rPr>
          <w:rFonts w:hint="eastAsia"/>
        </w:rPr>
        <w:t>％）でそれぞれ最も多くなっています。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29</w:t>
      </w:r>
      <w:r>
        <w:rPr>
          <w:rFonts w:hint="eastAsia" w:ascii="ＭＳ ゴシック" w:hAnsi="ＭＳ ゴシック" w:eastAsia="ＭＳ ゴシック"/>
          <w:sz w:val="21"/>
        </w:rPr>
        <w:t>：知っている認知症に関する相談窓口</w:t>
      </w:r>
    </w:p>
    <w:p>
      <w:pPr>
        <w:pStyle w:val="0"/>
        <w:rPr>
          <w:rFonts w:hint="default"/>
        </w:rPr>
      </w:pPr>
      <w:r>
        <w:rPr>
          <w:rFonts w:hint="default"/>
        </w:rPr>
        <w:drawing>
          <wp:anchor distT="0" distB="0" distL="114300" distR="114300" simplePos="0" relativeHeight="18" behindDoc="0" locked="0" layoutInCell="1" hidden="0" allowOverlap="1">
            <wp:simplePos x="0" y="0"/>
            <wp:positionH relativeFrom="column">
              <wp:posOffset>185420</wp:posOffset>
            </wp:positionH>
            <wp:positionV relativeFrom="paragraph">
              <wp:posOffset>67945</wp:posOffset>
            </wp:positionV>
            <wp:extent cx="5719445" cy="4592955"/>
            <wp:effectExtent l="0" t="0" r="0" b="0"/>
            <wp:wrapNone/>
            <wp:docPr id="1065" name="Picture 3"/>
            <a:graphic xmlns:a="http://schemas.openxmlformats.org/drawingml/2006/main">
              <a:graphicData uri="http://schemas.openxmlformats.org/drawingml/2006/picture">
                <pic:pic xmlns:pic="http://schemas.openxmlformats.org/drawingml/2006/picture">
                  <pic:nvPicPr>
                    <pic:cNvPr id="1065" name="Picture 3"/>
                    <pic:cNvPicPr>
                      <a:picLocks noChangeAspect="1" noChangeArrowheads="1"/>
                    </pic:cNvPicPr>
                  </pic:nvPicPr>
                  <pic:blipFill>
                    <a:blip r:embed="rId37"/>
                    <a:srcRect l="12961" r="8693" b="7539"/>
                    <a:stretch>
                      <a:fillRect/>
                    </a:stretch>
                  </pic:blipFill>
                  <pic:spPr>
                    <a:xfrm>
                      <a:off x="0" y="0"/>
                      <a:ext cx="5719445" cy="459295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介護保険料について</w:t>
      </w:r>
    </w:p>
    <w:p>
      <w:pPr>
        <w:pStyle w:val="0"/>
        <w:ind w:firstLine="240" w:firstLineChars="100"/>
        <w:jc w:val="both"/>
        <w:rPr>
          <w:rFonts w:hint="default"/>
        </w:rPr>
      </w:pPr>
      <w:r>
        <w:rPr>
          <w:rFonts w:hint="eastAsia"/>
        </w:rPr>
        <w:t>介護保険料の負担感については、【第１号（総合事業対象者）】は「負担であっても、支払うべきである」（</w:t>
      </w:r>
      <w:r>
        <w:rPr>
          <w:rFonts w:hint="eastAsia"/>
        </w:rPr>
        <w:t>37.0</w:t>
      </w:r>
      <w:r>
        <w:rPr>
          <w:rFonts w:hint="eastAsia"/>
        </w:rPr>
        <w:t>％）が最も多いですが、【第１号（自立）】と【第１号（要支援）】、【要介護】は「負担は感じるが、仕方なく支払う」（自立</w:t>
      </w:r>
      <w:r>
        <w:rPr>
          <w:rFonts w:hint="eastAsia"/>
        </w:rPr>
        <w:t>53.1</w:t>
      </w:r>
      <w:r>
        <w:rPr>
          <w:rFonts w:hint="eastAsia"/>
        </w:rPr>
        <w:t>％、要支援</w:t>
      </w:r>
      <w:r>
        <w:rPr>
          <w:rFonts w:hint="eastAsia"/>
        </w:rPr>
        <w:t>42.6</w:t>
      </w:r>
      <w:r>
        <w:rPr>
          <w:rFonts w:hint="eastAsia"/>
        </w:rPr>
        <w:t>％、要介護</w:t>
      </w:r>
      <w:r>
        <w:rPr>
          <w:rFonts w:hint="eastAsia"/>
        </w:rPr>
        <w:t>50.0</w:t>
      </w:r>
      <w:r>
        <w:rPr>
          <w:rFonts w:hint="eastAsia"/>
        </w:rPr>
        <w:t>％）が最も多くなっています。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30</w:t>
      </w:r>
      <w:r>
        <w:rPr>
          <w:rFonts w:hint="eastAsia" w:ascii="ＭＳ ゴシック" w:hAnsi="ＭＳ ゴシック" w:eastAsia="ＭＳ ゴシック"/>
          <w:sz w:val="21"/>
        </w:rPr>
        <w:t>：介護保険料の負担感</w:t>
      </w:r>
    </w:p>
    <w:p>
      <w:pPr>
        <w:pStyle w:val="0"/>
        <w:rPr>
          <w:rFonts w:hint="default"/>
        </w:rPr>
      </w:pPr>
      <w:r>
        <w:rPr>
          <w:rFonts w:hint="eastAsia"/>
        </w:rPr>
        <w:drawing>
          <wp:anchor distT="0" distB="0" distL="114300" distR="114300" simplePos="0" relativeHeight="19" behindDoc="0" locked="0" layoutInCell="1" hidden="0" allowOverlap="1">
            <wp:simplePos x="0" y="0"/>
            <wp:positionH relativeFrom="column">
              <wp:posOffset>238760</wp:posOffset>
            </wp:positionH>
            <wp:positionV relativeFrom="paragraph">
              <wp:posOffset>36195</wp:posOffset>
            </wp:positionV>
            <wp:extent cx="5995035" cy="2816860"/>
            <wp:effectExtent l="0" t="0" r="0" b="0"/>
            <wp:wrapNone/>
            <wp:docPr id="1066" name="Picture 21"/>
            <a:graphic xmlns:a="http://schemas.openxmlformats.org/drawingml/2006/main">
              <a:graphicData uri="http://schemas.openxmlformats.org/drawingml/2006/picture">
                <pic:pic xmlns:pic="http://schemas.openxmlformats.org/drawingml/2006/picture">
                  <pic:nvPicPr>
                    <pic:cNvPr id="1066" name="Picture 21"/>
                    <pic:cNvPicPr>
                      <a:picLocks noChangeAspect="1" noChangeArrowheads="1"/>
                    </pic:cNvPicPr>
                  </pic:nvPicPr>
                  <pic:blipFill>
                    <a:blip r:embed="rId38"/>
                    <a:srcRect l="12302" t="7092" r="7957" b="25812"/>
                    <a:stretch>
                      <a:fillRect/>
                    </a:stretch>
                  </pic:blipFill>
                  <pic:spPr>
                    <a:xfrm>
                      <a:off x="0" y="0"/>
                      <a:ext cx="5995035" cy="281686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負担と給付の関係に対する考えについては、いずれの区分も「保険料もサービス水準も今のままでよい」が最も多く、次いで【第１号（自立）】は「利用できるサービスを抑制しても、保険料が安いほうがよい」（</w:t>
      </w:r>
      <w:r>
        <w:rPr>
          <w:rFonts w:hint="eastAsia"/>
        </w:rPr>
        <w:t>23.4</w:t>
      </w:r>
      <w:r>
        <w:rPr>
          <w:rFonts w:hint="eastAsia"/>
        </w:rPr>
        <w:t>％）、【第１号（総合事業対象者）】、【第１号（要支援）】、【要介護】は「保険料が高くても、利用できるサービスが充実しているほうがよい」（総合</w:t>
      </w:r>
      <w:r>
        <w:rPr>
          <w:rFonts w:hint="eastAsia"/>
        </w:rPr>
        <w:t>25.9</w:t>
      </w:r>
      <w:r>
        <w:rPr>
          <w:rFonts w:hint="eastAsia"/>
        </w:rPr>
        <w:t>％、要支援</w:t>
      </w:r>
      <w:r>
        <w:rPr>
          <w:rFonts w:hint="eastAsia"/>
        </w:rPr>
        <w:t>20.6</w:t>
      </w:r>
      <w:r>
        <w:rPr>
          <w:rFonts w:hint="eastAsia"/>
        </w:rPr>
        <w:t>％、要介護</w:t>
      </w:r>
      <w:r>
        <w:rPr>
          <w:rFonts w:hint="eastAsia"/>
        </w:rPr>
        <w:t>26.5</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20" behindDoc="0" locked="0" layoutInCell="1" hidden="0" allowOverlap="1">
            <wp:simplePos x="0" y="0"/>
            <wp:positionH relativeFrom="column">
              <wp:posOffset>68580</wp:posOffset>
            </wp:positionH>
            <wp:positionV relativeFrom="paragraph">
              <wp:posOffset>215265</wp:posOffset>
            </wp:positionV>
            <wp:extent cx="6017260" cy="2870200"/>
            <wp:effectExtent l="0" t="0" r="0" b="0"/>
            <wp:wrapNone/>
            <wp:docPr id="1067" name="Picture 22"/>
            <a:graphic xmlns:a="http://schemas.openxmlformats.org/drawingml/2006/main">
              <a:graphicData uri="http://schemas.openxmlformats.org/drawingml/2006/picture">
                <pic:pic xmlns:pic="http://schemas.openxmlformats.org/drawingml/2006/picture">
                  <pic:nvPicPr>
                    <pic:cNvPr id="1067" name="Picture 22"/>
                    <pic:cNvPicPr>
                      <a:picLocks noChangeAspect="1" noChangeArrowheads="1"/>
                    </pic:cNvPicPr>
                  </pic:nvPicPr>
                  <pic:blipFill>
                    <a:blip r:embed="rId39"/>
                    <a:srcRect l="11916" t="8829" r="10582" b="24957"/>
                    <a:stretch>
                      <a:fillRect/>
                    </a:stretch>
                  </pic:blipFill>
                  <pic:spPr>
                    <a:xfrm>
                      <a:off x="0" y="0"/>
                      <a:ext cx="6017260" cy="287020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31</w:t>
      </w:r>
      <w:r>
        <w:rPr>
          <w:rFonts w:hint="eastAsia" w:ascii="ＭＳ ゴシック" w:hAnsi="ＭＳ ゴシック" w:eastAsia="ＭＳ ゴシック"/>
          <w:sz w:val="21"/>
        </w:rPr>
        <w:t>：負担と給付の関係に対する考え</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将来の生活の希望</w:t>
      </w:r>
    </w:p>
    <w:p>
      <w:pPr>
        <w:pStyle w:val="0"/>
        <w:ind w:firstLine="240" w:firstLineChars="100"/>
        <w:jc w:val="both"/>
        <w:rPr>
          <w:rFonts w:hint="default"/>
        </w:rPr>
      </w:pPr>
      <w:r>
        <w:rPr>
          <w:rFonts w:hint="eastAsia"/>
        </w:rPr>
        <w:t>将来の理想とする生活については、【第２号】と【要介護】は「子どもや親族と同居し、介護保険サービスを受け、自宅で生活したい」（第２号</w:t>
      </w:r>
      <w:r>
        <w:rPr>
          <w:rFonts w:hint="eastAsia"/>
        </w:rPr>
        <w:t>24.7</w:t>
      </w:r>
      <w:r>
        <w:rPr>
          <w:rFonts w:hint="eastAsia"/>
        </w:rPr>
        <w:t>％、要介護</w:t>
      </w:r>
      <w:r>
        <w:rPr>
          <w:rFonts w:hint="eastAsia"/>
        </w:rPr>
        <w:t>29.4</w:t>
      </w:r>
      <w:r>
        <w:rPr>
          <w:rFonts w:hint="eastAsia"/>
        </w:rPr>
        <w:t>％）が最も多く、【第１号（自立）】、【第１号（総合事業対象者）】、【第１号（要支援）】は「ひとりで、介護保険サービスなどを活用し、自宅で生活したい」（自立</w:t>
      </w:r>
      <w:r>
        <w:rPr>
          <w:rFonts w:hint="eastAsia"/>
        </w:rPr>
        <w:t>25.9</w:t>
      </w:r>
      <w:r>
        <w:rPr>
          <w:rFonts w:hint="eastAsia"/>
        </w:rPr>
        <w:t>％、総合</w:t>
      </w:r>
      <w:r>
        <w:rPr>
          <w:rFonts w:hint="eastAsia"/>
        </w:rPr>
        <w:t>28.4</w:t>
      </w:r>
      <w:r>
        <w:rPr>
          <w:rFonts w:hint="eastAsia"/>
        </w:rPr>
        <w:t>％、要支援</w:t>
      </w:r>
      <w:r>
        <w:rPr>
          <w:rFonts w:hint="eastAsia"/>
        </w:rPr>
        <w:t>27.9</w:t>
      </w:r>
      <w:r>
        <w:rPr>
          <w:rFonts w:hint="eastAsia"/>
        </w:rPr>
        <w:t>％）が最も多くなっています。「特別養護老人ホームなど介護保険施設などに入所したい」の割合は【要介護】（</w:t>
      </w:r>
      <w:r>
        <w:rPr>
          <w:rFonts w:hint="eastAsia"/>
        </w:rPr>
        <w:t>17.6</w:t>
      </w:r>
      <w:r>
        <w:rPr>
          <w:rFonts w:hint="eastAsia"/>
        </w:rPr>
        <w:t>％）で最も高く、「有料老人ホーム、サービス付き高齢者向け住宅などに入所したい」は【第２号】（</w:t>
      </w:r>
      <w:r>
        <w:rPr>
          <w:rFonts w:hint="eastAsia"/>
        </w:rPr>
        <w:t>15.0</w:t>
      </w:r>
      <w:r>
        <w:rPr>
          <w:rFonts w:hint="eastAsia"/>
        </w:rPr>
        <w:t>％）で最も高くなっています。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32</w:t>
      </w:r>
      <w:r>
        <w:rPr>
          <w:rFonts w:hint="eastAsia" w:ascii="ＭＳ ゴシック" w:hAnsi="ＭＳ ゴシック" w:eastAsia="ＭＳ ゴシック"/>
          <w:sz w:val="21"/>
        </w:rPr>
        <w:t>：将来の理想とする生活</w:t>
      </w:r>
    </w:p>
    <w:p>
      <w:pPr>
        <w:pStyle w:val="0"/>
        <w:rPr>
          <w:rFonts w:hint="default"/>
        </w:rPr>
      </w:pPr>
      <w:r>
        <w:rPr>
          <w:rFonts w:hint="default"/>
        </w:rPr>
        <w:drawing>
          <wp:anchor distT="0" distB="0" distL="114300" distR="114300" simplePos="0" relativeHeight="21" behindDoc="0" locked="0" layoutInCell="1" hidden="0" allowOverlap="1">
            <wp:simplePos x="0" y="0"/>
            <wp:positionH relativeFrom="column">
              <wp:posOffset>206375</wp:posOffset>
            </wp:positionH>
            <wp:positionV relativeFrom="paragraph">
              <wp:posOffset>31115</wp:posOffset>
            </wp:positionV>
            <wp:extent cx="5953760" cy="3263900"/>
            <wp:effectExtent l="0" t="0" r="0" b="0"/>
            <wp:wrapNone/>
            <wp:docPr id="1068" name="Picture 19"/>
            <a:graphic xmlns:a="http://schemas.openxmlformats.org/drawingml/2006/main">
              <a:graphicData uri="http://schemas.openxmlformats.org/drawingml/2006/picture">
                <pic:pic xmlns:pic="http://schemas.openxmlformats.org/drawingml/2006/picture">
                  <pic:nvPicPr>
                    <pic:cNvPr id="1068" name="Picture 19"/>
                    <pic:cNvPicPr>
                      <a:picLocks noChangeAspect="1" noChangeArrowheads="1"/>
                    </pic:cNvPicPr>
                  </pic:nvPicPr>
                  <pic:blipFill>
                    <a:blip r:embed="rId40"/>
                    <a:srcRect l="12944" t="4861" r="8273" b="24054"/>
                    <a:stretch>
                      <a:fillRect/>
                    </a:stretch>
                  </pic:blipFill>
                  <pic:spPr>
                    <a:xfrm>
                      <a:off x="0" y="0"/>
                      <a:ext cx="5953760" cy="326390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114300" distR="114300" simplePos="0" relativeHeight="22" behindDoc="0" locked="0" layoutInCell="1" hidden="0" allowOverlap="1">
            <wp:simplePos x="0" y="0"/>
            <wp:positionH relativeFrom="column">
              <wp:posOffset>307975</wp:posOffset>
            </wp:positionH>
            <wp:positionV relativeFrom="paragraph">
              <wp:posOffset>153670</wp:posOffset>
            </wp:positionV>
            <wp:extent cx="6194425" cy="833755"/>
            <wp:effectExtent l="0" t="0" r="0" b="0"/>
            <wp:wrapNone/>
            <wp:docPr id="1069" name="Picture 5"/>
            <a:graphic xmlns:a="http://schemas.openxmlformats.org/drawingml/2006/main">
              <a:graphicData uri="http://schemas.openxmlformats.org/drawingml/2006/picture">
                <pic:pic xmlns:pic="http://schemas.openxmlformats.org/drawingml/2006/picture">
                  <pic:nvPicPr>
                    <pic:cNvPr id="1069" name="Picture 5"/>
                    <pic:cNvPicPr>
                      <a:picLocks noChangeAspect="1" noChangeArrowheads="1"/>
                    </pic:cNvPicPr>
                  </pic:nvPicPr>
                  <pic:blipFill>
                    <a:blip r:embed="rId41"/>
                    <a:stretch>
                      <a:fillRect/>
                    </a:stretch>
                  </pic:blipFill>
                  <pic:spPr>
                    <a:xfrm>
                      <a:off x="0" y="0"/>
                      <a:ext cx="6194425" cy="83375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介護保険サービスの利用について</w:t>
      </w:r>
    </w:p>
    <w:p>
      <w:pPr>
        <w:pStyle w:val="0"/>
        <w:ind w:firstLine="240" w:firstLineChars="100"/>
        <w:jc w:val="both"/>
        <w:rPr>
          <w:rFonts w:hint="default"/>
        </w:rPr>
      </w:pPr>
      <w:r>
        <w:rPr>
          <w:rFonts w:hint="eastAsia"/>
        </w:rPr>
        <w:t>【要介護】の介護保険サービスの利用状況については、「利用している」が</w:t>
      </w:r>
      <w:r>
        <w:rPr>
          <w:rFonts w:hint="eastAsia"/>
        </w:rPr>
        <w:t>92.6</w:t>
      </w:r>
      <w:r>
        <w:rPr>
          <w:rFonts w:hint="eastAsia"/>
        </w:rPr>
        <w:t>％、「利用していない」が</w:t>
      </w:r>
      <w:r>
        <w:rPr>
          <w:rFonts w:hint="eastAsia"/>
        </w:rPr>
        <w:t>5.9</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33</w:t>
      </w:r>
      <w:r>
        <w:rPr>
          <w:rFonts w:hint="eastAsia" w:ascii="ＭＳ ゴシック" w:hAnsi="ＭＳ ゴシック" w:eastAsia="ＭＳ ゴシック"/>
          <w:sz w:val="21"/>
        </w:rPr>
        <w:t>：介護保険サービスの利用状況</w:t>
      </w:r>
    </w:p>
    <w:p>
      <w:pPr>
        <w:pStyle w:val="0"/>
        <w:rPr>
          <w:rFonts w:hint="default"/>
        </w:rPr>
      </w:pPr>
      <w:r>
        <w:rPr>
          <w:rFonts w:hint="default"/>
        </w:rPr>
        <w:drawing>
          <wp:anchor distT="0" distB="0" distL="114300" distR="114300" simplePos="0" relativeHeight="23" behindDoc="0" locked="0" layoutInCell="1" hidden="0" allowOverlap="1">
            <wp:simplePos x="0" y="0"/>
            <wp:positionH relativeFrom="column">
              <wp:posOffset>663575</wp:posOffset>
            </wp:positionH>
            <wp:positionV relativeFrom="paragraph">
              <wp:posOffset>66675</wp:posOffset>
            </wp:positionV>
            <wp:extent cx="5273040" cy="1116330"/>
            <wp:effectExtent l="0" t="0" r="0" b="0"/>
            <wp:wrapNone/>
            <wp:docPr id="1070" name="Picture 37"/>
            <a:graphic xmlns:a="http://schemas.openxmlformats.org/drawingml/2006/main">
              <a:graphicData uri="http://schemas.openxmlformats.org/drawingml/2006/picture">
                <pic:pic xmlns:pic="http://schemas.openxmlformats.org/drawingml/2006/picture">
                  <pic:nvPicPr>
                    <pic:cNvPr id="1070" name="Picture 37"/>
                    <pic:cNvPicPr>
                      <a:picLocks noChangeAspect="1" noChangeArrowheads="1"/>
                    </pic:cNvPicPr>
                  </pic:nvPicPr>
                  <pic:blipFill>
                    <a:blip r:embed="rId42"/>
                    <a:srcRect l="24336" t="17383" r="10771" b="27304"/>
                    <a:stretch>
                      <a:fillRect/>
                    </a:stretch>
                  </pic:blipFill>
                  <pic:spPr>
                    <a:xfrm>
                      <a:off x="0" y="0"/>
                      <a:ext cx="5273040" cy="111633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jc w:val="both"/>
        <w:rPr>
          <w:rFonts w:hint="default"/>
        </w:rPr>
      </w:pPr>
      <w:r>
        <w:rPr>
          <w:rFonts w:hint="eastAsia"/>
        </w:rPr>
        <w:t>【要介護】の介護保険サービスを利用していると回答した人に、利用してよかった点についてたずねると、「家族の負担が減ったこと」が</w:t>
      </w:r>
      <w:r>
        <w:rPr>
          <w:rFonts w:hint="eastAsia"/>
        </w:rPr>
        <w:t>71.4</w:t>
      </w:r>
      <w:r>
        <w:rPr>
          <w:rFonts w:hint="eastAsia"/>
        </w:rPr>
        <w:t>％で最も多く、次いで「身の回りのことをしてもらって助かったこと」が</w:t>
      </w:r>
      <w:r>
        <w:rPr>
          <w:rFonts w:hint="eastAsia"/>
        </w:rPr>
        <w:t>49.2</w:t>
      </w:r>
      <w:r>
        <w:rPr>
          <w:rFonts w:hint="eastAsia"/>
        </w:rPr>
        <w:t>％、「安心して生活ができるようになったこと」が</w:t>
      </w:r>
      <w:r>
        <w:rPr>
          <w:rFonts w:hint="eastAsia"/>
        </w:rPr>
        <w:t>39.7</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34</w:t>
      </w:r>
      <w:r>
        <w:rPr>
          <w:rFonts w:hint="eastAsia" w:ascii="ＭＳ ゴシック" w:hAnsi="ＭＳ ゴシック" w:eastAsia="ＭＳ ゴシック"/>
          <w:sz w:val="21"/>
        </w:rPr>
        <w:t>：介護保険サービスを利用してよかった点</w:t>
      </w:r>
    </w:p>
    <w:p>
      <w:pPr>
        <w:pStyle w:val="0"/>
        <w:rPr>
          <w:rFonts w:hint="default"/>
        </w:rPr>
      </w:pPr>
      <w:r>
        <w:rPr>
          <w:rFonts w:hint="default"/>
        </w:rPr>
        <w:drawing>
          <wp:anchor distT="0" distB="0" distL="114300" distR="114300" simplePos="0" relativeHeight="24" behindDoc="0" locked="0" layoutInCell="1" hidden="0" allowOverlap="1">
            <wp:simplePos x="0" y="0"/>
            <wp:positionH relativeFrom="column">
              <wp:posOffset>610870</wp:posOffset>
            </wp:positionH>
            <wp:positionV relativeFrom="paragraph">
              <wp:posOffset>26035</wp:posOffset>
            </wp:positionV>
            <wp:extent cx="4953635" cy="3412490"/>
            <wp:effectExtent l="0" t="0" r="0" b="0"/>
            <wp:wrapNone/>
            <wp:docPr id="1071" name="Picture 40"/>
            <a:graphic xmlns:a="http://schemas.openxmlformats.org/drawingml/2006/main">
              <a:graphicData uri="http://schemas.openxmlformats.org/drawingml/2006/picture">
                <pic:pic xmlns:pic="http://schemas.openxmlformats.org/drawingml/2006/picture">
                  <pic:nvPicPr>
                    <pic:cNvPr id="1071" name="Picture 40"/>
                    <pic:cNvPicPr>
                      <a:picLocks noChangeAspect="1" noChangeArrowheads="1"/>
                    </pic:cNvPicPr>
                  </pic:nvPicPr>
                  <pic:blipFill>
                    <a:blip r:embed="rId43"/>
                    <a:srcRect l="2493" t="2753" r="14516" b="16933"/>
                    <a:stretch>
                      <a:fillRect/>
                    </a:stretch>
                  </pic:blipFill>
                  <pic:spPr>
                    <a:xfrm>
                      <a:off x="0" y="0"/>
                      <a:ext cx="4953635" cy="341249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
        <w:ind w:left="0" w:leftChars="0"/>
        <w:rPr>
          <w:rFonts w:hint="default" w:ascii="メイリオ" w:hAnsi="メイリオ" w:eastAsia="メイリオ"/>
          <w:b w:val="0"/>
          <w:sz w:val="28"/>
        </w:rPr>
      </w:pPr>
      <w:bookmarkStart w:id="33" w:name="_Toc59007765"/>
      <w:r>
        <w:rPr>
          <w:rFonts w:hint="eastAsia" w:ascii="メイリオ" w:hAnsi="メイリオ" w:eastAsia="メイリオ"/>
          <w:b w:val="0"/>
          <w:sz w:val="28"/>
        </w:rPr>
        <w:t>（２）家族介護者の意識・実態</w:t>
      </w:r>
      <w:bookmarkEnd w:id="33"/>
    </w:p>
    <w:p>
      <w:pPr>
        <w:pStyle w:val="0"/>
        <w:ind w:firstLine="240" w:firstLineChars="100"/>
        <w:rPr>
          <w:rFonts w:hint="default"/>
        </w:rPr>
      </w:pPr>
      <w:r>
        <w:rPr>
          <w:rFonts w:hint="eastAsia"/>
        </w:rPr>
        <w:t>家族等介護者の意識・実態について、次の調査から主な意見を整理しました。</w:t>
      </w:r>
    </w:p>
    <w:p>
      <w:pPr>
        <w:pStyle w:val="0"/>
        <w:ind w:firstLine="240" w:firstLineChars="100"/>
        <w:rPr>
          <w:rFonts w:hint="default"/>
        </w:rPr>
      </w:pPr>
    </w:p>
    <w:tbl>
      <w:tblPr>
        <w:tblStyle w:val="60"/>
        <w:tblW w:w="9716" w:type="dxa"/>
        <w:tblInd w:w="0" w:type="dxa"/>
        <w:tblLayout w:type="fixed"/>
        <w:tblLook w:firstRow="1" w:lastRow="0" w:firstColumn="1" w:lastColumn="0" w:noHBand="0" w:noVBand="1" w:val="04A0"/>
      </w:tblPr>
      <w:tblGrid>
        <w:gridCol w:w="9716"/>
      </w:tblGrid>
      <w:tr>
        <w:trPr/>
        <w:tc>
          <w:tcPr>
            <w:tcW w:w="973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①在宅介護実態調査</w:t>
            </w:r>
          </w:p>
          <w:p>
            <w:pPr>
              <w:pStyle w:val="0"/>
              <w:ind w:left="210" w:hanging="210" w:hangingChars="100"/>
              <w:jc w:val="both"/>
              <w:rPr>
                <w:rFonts w:hint="default" w:ascii="ＭＳ 明朝" w:hAnsi="ＭＳ 明朝" w:eastAsia="ＭＳ 明朝"/>
                <w:sz w:val="24"/>
              </w:rPr>
            </w:pPr>
            <w:r>
              <w:rPr>
                <w:rFonts w:hint="eastAsia"/>
              </w:rPr>
              <w:t>　</w:t>
            </w:r>
            <w:r>
              <w:rPr>
                <w:rFonts w:hint="eastAsia" w:ascii="ＭＳ 明朝" w:hAnsi="ＭＳ 明朝" w:eastAsia="ＭＳ 明朝"/>
                <w:sz w:val="24"/>
              </w:rPr>
              <w:t>家族等介護者の「就労継続」、「高齢者等の在宅生活継続」の観点から、高齢者等の世帯状況や介護者の状況等を把握しました。</w:t>
            </w:r>
          </w:p>
          <w:p>
            <w:pPr>
              <w:pStyle w:val="0"/>
              <w:ind w:left="240" w:hanging="240" w:hangingChars="100"/>
              <w:jc w:val="both"/>
              <w:rPr>
                <w:rFonts w:hint="default" w:ascii="ＭＳ 明朝" w:hAnsi="ＭＳ 明朝" w:eastAsia="ＭＳ 明朝"/>
                <w:color w:val="FF0000"/>
                <w:sz w:val="24"/>
              </w:rPr>
            </w:pPr>
            <w:r>
              <w:rPr>
                <w:rFonts w:hint="eastAsia" w:ascii="ＭＳ 明朝" w:hAnsi="ＭＳ 明朝" w:eastAsia="ＭＳ 明朝"/>
                <w:sz w:val="24"/>
              </w:rPr>
              <w:t>　□調査期間：令和２</w:t>
            </w:r>
            <w:r>
              <w:rPr>
                <w:rFonts w:hint="default" w:ascii="ＭＳ 明朝" w:hAnsi="ＭＳ 明朝" w:eastAsia="ＭＳ 明朝"/>
                <w:sz w:val="24"/>
              </w:rPr>
              <w:t>年</w:t>
            </w:r>
            <w:r>
              <w:rPr>
                <w:rFonts w:hint="eastAsia" w:ascii="ＭＳ 明朝" w:hAnsi="ＭＳ 明朝" w:eastAsia="ＭＳ 明朝"/>
                <w:sz w:val="24"/>
              </w:rPr>
              <w:t>(2020</w:t>
            </w:r>
            <w:r>
              <w:rPr>
                <w:rFonts w:hint="eastAsia" w:ascii="ＭＳ 明朝" w:hAnsi="ＭＳ 明朝" w:eastAsia="ＭＳ 明朝"/>
                <w:sz w:val="24"/>
              </w:rPr>
              <w:t>年</w:t>
            </w:r>
            <w:r>
              <w:rPr>
                <w:rFonts w:hint="eastAsia" w:ascii="ＭＳ 明朝" w:hAnsi="ＭＳ 明朝" w:eastAsia="ＭＳ 明朝"/>
                <w:sz w:val="24"/>
              </w:rPr>
              <w:t>)</w:t>
            </w:r>
            <w:r>
              <w:rPr>
                <w:rFonts w:hint="eastAsia" w:ascii="ＭＳ 明朝" w:hAnsi="ＭＳ 明朝" w:eastAsia="ＭＳ 明朝"/>
                <w:color w:val="000000" w:themeColor="text1"/>
                <w:sz w:val="24"/>
              </w:rPr>
              <w:t>１</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16</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（木）</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６</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30</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（火）</w:t>
            </w:r>
          </w:p>
          <w:p>
            <w:pPr>
              <w:pStyle w:val="0"/>
              <w:jc w:val="both"/>
              <w:rPr>
                <w:rFonts w:hint="default" w:ascii="ＭＳ 明朝" w:hAnsi="ＭＳ 明朝" w:eastAsia="ＭＳ 明朝"/>
                <w:sz w:val="24"/>
              </w:rPr>
            </w:pPr>
            <w:r>
              <w:rPr>
                <w:rFonts w:hint="eastAsia" w:ascii="ＭＳ 明朝" w:hAnsi="ＭＳ 明朝" w:eastAsia="ＭＳ 明朝"/>
                <w:sz w:val="24"/>
              </w:rPr>
              <w:t>　□調査対象：在宅で生活し、要支援・要介護認定を受けているかた</w:t>
            </w:r>
          </w:p>
          <w:p>
            <w:pPr>
              <w:pStyle w:val="0"/>
              <w:ind w:firstLine="1680" w:firstLineChars="700"/>
              <w:jc w:val="both"/>
              <w:rPr>
                <w:rFonts w:hint="default" w:ascii="ＭＳ 明朝" w:hAnsi="ＭＳ 明朝" w:eastAsia="ＭＳ 明朝"/>
                <w:sz w:val="24"/>
              </w:rPr>
            </w:pPr>
            <w:r>
              <w:rPr>
                <w:rFonts w:hint="eastAsia" w:ascii="ＭＳ 明朝" w:hAnsi="ＭＳ 明朝" w:eastAsia="ＭＳ 明朝"/>
                <w:sz w:val="24"/>
              </w:rPr>
              <w:t>調査期間中、更新申請・区分変更申請にかかる認定調査を受けるかた</w:t>
            </w:r>
          </w:p>
          <w:p>
            <w:pPr>
              <w:pStyle w:val="0"/>
              <w:ind w:firstLine="420" w:firstLineChars="200"/>
              <w:jc w:val="both"/>
              <w:rPr>
                <w:rFonts w:hint="default" w:ascii="ＭＳ 明朝" w:hAnsi="ＭＳ 明朝" w:eastAsia="ＭＳ 明朝"/>
              </w:rPr>
            </w:pPr>
            <w:r>
              <w:rPr>
                <w:rFonts w:hint="eastAsia" w:ascii="ＭＳ 明朝" w:hAnsi="ＭＳ 明朝" w:eastAsia="ＭＳ 明朝"/>
              </w:rPr>
              <w:t>※留意点について</w:t>
            </w:r>
          </w:p>
          <w:p>
            <w:pPr>
              <w:pStyle w:val="0"/>
              <w:ind w:firstLine="630" w:firstLineChars="300"/>
              <w:jc w:val="both"/>
              <w:rPr>
                <w:rFonts w:hint="default" w:ascii="ＭＳ 明朝" w:hAnsi="ＭＳ 明朝" w:eastAsia="ＭＳ 明朝"/>
              </w:rPr>
            </w:pPr>
            <w:r>
              <w:rPr>
                <w:rFonts w:hint="eastAsia" w:ascii="ＭＳ 明朝" w:hAnsi="ＭＳ 明朝" w:eastAsia="ＭＳ 明朝"/>
              </w:rPr>
              <w:t>ア）以下のかたは、在宅と見なし、調査対象者に含みます。</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・ケアハウスの入居者</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・サービス付き高齢者向け住宅の入居者</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・有料老人ホーム（特定施設入居者生活介護・地域密着型特定施設入居者生活介護の指定</w:t>
            </w:r>
          </w:p>
          <w:p>
            <w:pPr>
              <w:pStyle w:val="0"/>
              <w:ind w:left="480" w:leftChars="200" w:firstLine="630" w:firstLineChars="300"/>
              <w:jc w:val="both"/>
              <w:rPr>
                <w:rFonts w:hint="default" w:ascii="ＭＳ 明朝" w:hAnsi="ＭＳ 明朝" w:eastAsia="ＭＳ 明朝"/>
              </w:rPr>
            </w:pPr>
            <w:r>
              <w:rPr>
                <w:rFonts w:hint="eastAsia" w:ascii="ＭＳ 明朝" w:hAnsi="ＭＳ 明朝" w:eastAsia="ＭＳ 明朝"/>
              </w:rPr>
              <w:t>を受けていない施設に限る）の入居者</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・介護保険サービスの利用の有無は問いません。</w:t>
            </w:r>
          </w:p>
          <w:p>
            <w:pPr>
              <w:pStyle w:val="0"/>
              <w:ind w:firstLine="630" w:firstLineChars="300"/>
              <w:jc w:val="both"/>
              <w:rPr>
                <w:rFonts w:hint="default" w:ascii="ＭＳ 明朝" w:hAnsi="ＭＳ 明朝" w:eastAsia="ＭＳ 明朝"/>
              </w:rPr>
            </w:pPr>
            <w:r>
              <w:rPr>
                <w:rFonts w:hint="eastAsia" w:ascii="ＭＳ 明朝" w:hAnsi="ＭＳ 明朝" w:eastAsia="ＭＳ 明朝"/>
              </w:rPr>
              <w:t>イ）以下のかたは、調査対象者に含みません。</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・要支援・要介護認定を新規に申請したかた</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・箕面市内に住民票を残したままで、箕面市外で生活しているかた</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・医療機関に入院しているかた</w:t>
            </w:r>
          </w:p>
          <w:p>
            <w:pPr>
              <w:pStyle w:val="0"/>
              <w:ind w:firstLine="840" w:firstLineChars="400"/>
              <w:jc w:val="both"/>
              <w:rPr>
                <w:rFonts w:hint="default" w:ascii="ＭＳ 明朝" w:hAnsi="ＭＳ 明朝" w:eastAsia="ＭＳ 明朝"/>
              </w:rPr>
            </w:pPr>
            <w:r>
              <w:rPr>
                <w:rFonts w:hint="eastAsia" w:ascii="ＭＳ 明朝" w:hAnsi="ＭＳ 明朝" w:eastAsia="ＭＳ 明朝"/>
              </w:rPr>
              <w:t>・特別養護老人ホーム・地域密着型特別養護老人ホーム・老人保健施設・介護療養型医療</w:t>
            </w:r>
          </w:p>
          <w:p>
            <w:pPr>
              <w:pStyle w:val="0"/>
              <w:ind w:firstLine="1050" w:firstLineChars="500"/>
              <w:jc w:val="both"/>
              <w:rPr>
                <w:rFonts w:hint="default" w:ascii="ＭＳ 明朝" w:hAnsi="ＭＳ 明朝" w:eastAsia="ＭＳ 明朝"/>
              </w:rPr>
            </w:pPr>
            <w:r>
              <w:rPr>
                <w:rFonts w:hint="eastAsia" w:ascii="ＭＳ 明朝" w:hAnsi="ＭＳ 明朝" w:eastAsia="ＭＳ 明朝"/>
              </w:rPr>
              <w:t>施設・特定施設・地域密着型特定施設・グループホームに入所・入居しているかた</w:t>
            </w:r>
          </w:p>
          <w:p>
            <w:pPr>
              <w:pStyle w:val="0"/>
              <w:jc w:val="both"/>
              <w:rPr>
                <w:rFonts w:hint="default"/>
              </w:rPr>
            </w:pPr>
            <w:r>
              <w:rPr>
                <w:rFonts w:hint="eastAsia" w:ascii="ＭＳ 明朝" w:hAnsi="ＭＳ 明朝" w:eastAsia="ＭＳ 明朝"/>
              </w:rPr>
              <w:t>　</w:t>
            </w:r>
            <w:r>
              <w:rPr>
                <w:rFonts w:hint="eastAsia" w:ascii="ＭＳ 明朝" w:hAnsi="ＭＳ 明朝" w:eastAsia="ＭＳ 明朝"/>
                <w:sz w:val="24"/>
              </w:rPr>
              <w:t>□回収状況：</w:t>
            </w:r>
            <w:r>
              <w:rPr>
                <w:rFonts w:hint="eastAsia" w:ascii="ＭＳ 明朝" w:hAnsi="ＭＳ 明朝" w:eastAsia="ＭＳ 明朝"/>
                <w:sz w:val="24"/>
              </w:rPr>
              <w:t>556</w:t>
            </w:r>
            <w:r>
              <w:rPr>
                <w:rFonts w:hint="eastAsia" w:ascii="ＭＳ 明朝" w:hAnsi="ＭＳ 明朝" w:eastAsia="ＭＳ 明朝"/>
                <w:sz w:val="24"/>
              </w:rPr>
              <w:t>件</w:t>
            </w:r>
          </w:p>
        </w:tc>
      </w:tr>
    </w:tbl>
    <w:p>
      <w:pPr>
        <w:pStyle w:val="0"/>
        <w:rPr>
          <w:rFonts w:hint="default"/>
        </w:rPr>
      </w:pPr>
    </w:p>
    <w:p>
      <w:pPr>
        <w:pStyle w:val="0"/>
        <w:jc w:val="both"/>
        <w:rPr>
          <w:rFonts w:hint="default"/>
          <w:sz w:val="21"/>
        </w:rPr>
      </w:pPr>
      <w:r>
        <w:rPr>
          <w:rFonts w:hint="eastAsia"/>
          <w:sz w:val="21"/>
        </w:rPr>
        <w:t>※集計結果を見る上での注意事項</w:t>
      </w:r>
    </w:p>
    <w:p>
      <w:pPr>
        <w:pStyle w:val="0"/>
        <w:ind w:left="450" w:leftChars="100" w:hanging="210" w:hangingChars="100"/>
        <w:jc w:val="both"/>
        <w:rPr>
          <w:rFonts w:hint="default"/>
          <w:sz w:val="21"/>
        </w:rPr>
      </w:pPr>
      <w:r>
        <w:rPr>
          <w:rFonts w:hint="eastAsia"/>
          <w:sz w:val="21"/>
        </w:rPr>
        <w:t>○　図表中の「ｎ</w:t>
      </w:r>
      <w:r>
        <w:rPr>
          <w:rFonts w:hint="default"/>
          <w:sz w:val="21"/>
        </w:rPr>
        <w:t>（</w:t>
      </w:r>
      <w:r>
        <w:rPr>
          <w:rFonts w:hint="default"/>
          <w:sz w:val="21"/>
        </w:rPr>
        <w:t>number of case</w:t>
      </w:r>
      <w:r>
        <w:rPr>
          <w:rFonts w:hint="default"/>
          <w:sz w:val="21"/>
        </w:rPr>
        <w:t>）」は、有効標本数（集計対象者総数）を表しています。</w:t>
      </w:r>
    </w:p>
    <w:p>
      <w:pPr>
        <w:pStyle w:val="0"/>
        <w:ind w:left="450" w:leftChars="100" w:hanging="210" w:hangingChars="100"/>
        <w:jc w:val="both"/>
        <w:rPr>
          <w:rFonts w:hint="default"/>
          <w:sz w:val="21"/>
        </w:rPr>
      </w:pPr>
      <w:r>
        <w:rPr>
          <w:rFonts w:hint="eastAsia"/>
          <w:sz w:val="21"/>
        </w:rPr>
        <w:t>○　回答結果の割合「％」は有効サンプル数に対して、それぞれの回答数の割合を小数点以下第２位で四捨五入したものです。そのため、単数回答であっても合計値が</w:t>
      </w:r>
      <w:r>
        <w:rPr>
          <w:rFonts w:hint="default"/>
          <w:sz w:val="21"/>
        </w:rPr>
        <w:t>100.0</w:t>
      </w:r>
      <w:r>
        <w:rPr>
          <w:rFonts w:hint="default"/>
          <w:sz w:val="21"/>
        </w:rPr>
        <w:t>％にならない場合があります。</w:t>
      </w:r>
    </w:p>
    <w:p>
      <w:pPr>
        <w:pStyle w:val="0"/>
        <w:ind w:left="450" w:leftChars="100" w:hanging="210" w:hangingChars="100"/>
        <w:jc w:val="both"/>
        <w:rPr>
          <w:rFonts w:hint="default"/>
          <w:sz w:val="21"/>
        </w:rPr>
      </w:pPr>
      <w:r>
        <w:rPr>
          <w:rFonts w:hint="eastAsia"/>
          <w:sz w:val="21"/>
        </w:rPr>
        <w:t>○　複数回答の設問の場合、回答は選択肢ごとの有効回答数に対して、それぞれの割合を示しています。そのため、合計が</w:t>
      </w:r>
      <w:r>
        <w:rPr>
          <w:rFonts w:hint="default"/>
          <w:sz w:val="21"/>
        </w:rPr>
        <w:t>100.0</w:t>
      </w:r>
      <w:r>
        <w:rPr>
          <w:rFonts w:hint="default"/>
          <w:sz w:val="21"/>
        </w:rPr>
        <w:t>％を超える場合があります。</w:t>
      </w:r>
    </w:p>
    <w:p>
      <w:pPr>
        <w:pStyle w:val="0"/>
        <w:ind w:left="450" w:leftChars="100" w:hanging="210" w:hangingChars="100"/>
        <w:jc w:val="both"/>
        <w:rPr>
          <w:rFonts w:hint="default"/>
          <w:sz w:val="21"/>
        </w:rPr>
      </w:pPr>
      <w:r>
        <w:rPr>
          <w:rFonts w:hint="eastAsia"/>
          <w:sz w:val="21"/>
        </w:rPr>
        <w:t>○　図表中において「無回答」とあるものは、回答が示されていない、または回答の判別が著しく困難なものです。</w:t>
      </w:r>
    </w:p>
    <w:p>
      <w:pPr>
        <w:pStyle w:val="0"/>
        <w:ind w:left="450" w:leftChars="100" w:hanging="210" w:hangingChars="100"/>
        <w:jc w:val="both"/>
        <w:rPr>
          <w:rFonts w:hint="default"/>
          <w:sz w:val="21"/>
        </w:rPr>
      </w:pPr>
      <w:r>
        <w:rPr>
          <w:rFonts w:hint="eastAsia"/>
          <w:sz w:val="21"/>
        </w:rPr>
        <w:t>○　本集計・分析では、介護保険サービスの利用回数・利用の組み合わせ等に着目した集計・分析を行うため、介護保険サービスを大きく、「訪問系」、「通所系」、「短期系」の３つに分類して集計しています。なお、介護保険サービスの中には「介護予防・生活支援サービス（総合事業）」も含まれます。</w:t>
      </w:r>
    </w:p>
    <w:p>
      <w:pPr>
        <w:pStyle w:val="0"/>
        <w:jc w:val="both"/>
        <w:rPr>
          <w:rFonts w:hint="default"/>
          <w:sz w:val="21"/>
        </w:rPr>
      </w:pPr>
    </w:p>
    <w:p>
      <w:pPr>
        <w:pStyle w:val="0"/>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施設等の検討状況</w:t>
      </w:r>
    </w:p>
    <w:p>
      <w:pPr>
        <w:pStyle w:val="0"/>
        <w:ind w:firstLine="240" w:firstLineChars="100"/>
        <w:jc w:val="both"/>
        <w:rPr>
          <w:rFonts w:hint="default"/>
        </w:rPr>
      </w:pPr>
      <w:r>
        <w:rPr>
          <w:rFonts w:hint="eastAsia"/>
        </w:rPr>
        <w:t>現時点での、施設等への入所・入居の検討状況について、「検討していない」が最も高く</w:t>
      </w:r>
      <w:r>
        <w:rPr>
          <w:rFonts w:hint="default"/>
        </w:rPr>
        <w:t>7</w:t>
      </w:r>
      <w:r>
        <w:rPr>
          <w:rFonts w:hint="eastAsia"/>
        </w:rPr>
        <w:t>5.0</w:t>
      </w:r>
      <w:r>
        <w:rPr>
          <w:rFonts w:hint="default"/>
        </w:rPr>
        <w:t>％、次いで「検討中」が</w:t>
      </w:r>
      <w:r>
        <w:rPr>
          <w:rFonts w:hint="default"/>
        </w:rPr>
        <w:t>15.</w:t>
      </w:r>
      <w:r>
        <w:rPr>
          <w:rFonts w:hint="eastAsia"/>
        </w:rPr>
        <w:t>3</w:t>
      </w:r>
      <w:r>
        <w:rPr>
          <w:rFonts w:hint="default"/>
        </w:rPr>
        <w:t>％、「申請済み」が</w:t>
      </w:r>
      <w:r>
        <w:rPr>
          <w:rFonts w:hint="default"/>
        </w:rPr>
        <w:t>6.8</w:t>
      </w:r>
      <w:r>
        <w:rPr>
          <w:rFonts w:hint="default"/>
        </w:rPr>
        <w:t>％となっています。</w:t>
      </w:r>
    </w:p>
    <w:p>
      <w:pPr>
        <w:pStyle w:val="0"/>
        <w:ind w:firstLine="240" w:firstLineChars="100"/>
        <w:jc w:val="both"/>
        <w:rPr>
          <w:rFonts w:hint="default"/>
          <w:color w:val="FF0000"/>
        </w:rPr>
      </w:pPr>
      <w:r>
        <w:rPr>
          <w:rFonts w:hint="eastAsia"/>
        </w:rPr>
        <w:t>また、要介護度別でみると、「検討していない」では、「要支援１・２」が最も高く</w:t>
      </w:r>
      <w:r>
        <w:rPr>
          <w:rFonts w:hint="eastAsia"/>
        </w:rPr>
        <w:t>92.5</w:t>
      </w:r>
      <w:r>
        <w:rPr>
          <w:rFonts w:hint="eastAsia"/>
        </w:rPr>
        <w:t>％で、要介護度が高くなるにつれて割合が低くなっています。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w:t>
      </w:r>
      <w:r>
        <w:rPr>
          <w:rFonts w:hint="default" w:ascii="ＭＳ ゴシック" w:hAnsi="ＭＳ ゴシック" w:eastAsia="ＭＳ ゴシック"/>
          <w:sz w:val="21"/>
        </w:rPr>
        <w:t>5</w:t>
      </w:r>
      <w:r>
        <w:rPr>
          <w:rFonts w:hint="eastAsia" w:ascii="ＭＳ ゴシック" w:hAnsi="ＭＳ ゴシック" w:eastAsia="ＭＳ ゴシック"/>
          <w:sz w:val="21"/>
        </w:rPr>
        <w:t>：施設等の検討状況</w:t>
      </w:r>
    </w:p>
    <w:p>
      <w:pPr>
        <w:pStyle w:val="0"/>
        <w:jc w:val="center"/>
        <w:rPr>
          <w:rFonts w:hint="default"/>
          <w:color w:val="FF0000"/>
        </w:rPr>
      </w:pPr>
      <w:r>
        <w:rPr>
          <w:rFonts w:hint="default"/>
          <w:color w:val="FF0000"/>
        </w:rPr>
        <w:drawing>
          <wp:inline distT="0" distB="0" distL="0" distR="0">
            <wp:extent cx="5514975" cy="1504950"/>
            <wp:effectExtent l="0" t="0" r="0" b="0"/>
            <wp:docPr id="1072" name="Picture 3"/>
            <a:graphic xmlns:a="http://schemas.openxmlformats.org/drawingml/2006/main">
              <a:graphicData uri="http://schemas.openxmlformats.org/drawingml/2006/picture">
                <pic:pic xmlns:pic="http://schemas.openxmlformats.org/drawingml/2006/picture">
                  <pic:nvPicPr>
                    <pic:cNvPr id="1072" name="Picture 3"/>
                    <pic:cNvPicPr>
                      <a:picLocks noChangeAspect="1" noChangeArrowheads="1"/>
                    </pic:cNvPicPr>
                  </pic:nvPicPr>
                  <pic:blipFill>
                    <a:blip r:embed="rId44"/>
                    <a:srcRect t="1724" b="64224"/>
                    <a:stretch>
                      <a:fillRect/>
                    </a:stretch>
                  </pic:blipFill>
                  <pic:spPr>
                    <a:xfrm>
                      <a:off x="0" y="0"/>
                      <a:ext cx="5514975" cy="1504950"/>
                    </a:xfrm>
                    <a:prstGeom prst="rect">
                      <a:avLst/>
                    </a:prstGeom>
                    <a:noFill/>
                    <a:ln>
                      <a:noFill/>
                    </a:ln>
                  </pic:spPr>
                </pic:pic>
              </a:graphicData>
            </a:graphic>
          </wp:inline>
        </w:drawing>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w:t>
      </w:r>
      <w:r>
        <w:rPr>
          <w:rFonts w:hint="default" w:ascii="ＭＳ ゴシック" w:hAnsi="ＭＳ ゴシック" w:eastAsia="ＭＳ ゴシック"/>
          <w:sz w:val="21"/>
        </w:rPr>
        <w:t>6</w:t>
      </w:r>
      <w:r>
        <w:rPr>
          <w:rFonts w:hint="eastAsia" w:ascii="ＭＳ ゴシック" w:hAnsi="ＭＳ ゴシック" w:eastAsia="ＭＳ ゴシック"/>
          <w:sz w:val="21"/>
        </w:rPr>
        <w:t>：要介護度別・施設検討の状況</w:t>
      </w:r>
    </w:p>
    <w:p>
      <w:pPr>
        <w:pStyle w:val="0"/>
        <w:jc w:val="center"/>
        <w:rPr>
          <w:rFonts w:hint="default"/>
        </w:rPr>
      </w:pPr>
      <w:r>
        <w:rPr>
          <w:rFonts w:hint="default"/>
        </w:rPr>
        <w:drawing>
          <wp:inline distT="0" distB="0" distL="0" distR="0">
            <wp:extent cx="5572125" cy="2828925"/>
            <wp:effectExtent l="0" t="0" r="0" b="0"/>
            <wp:docPr id="1073" name="Picture 3"/>
            <a:graphic xmlns:a="http://schemas.openxmlformats.org/drawingml/2006/main">
              <a:graphicData uri="http://schemas.openxmlformats.org/drawingml/2006/picture">
                <pic:pic xmlns:pic="http://schemas.openxmlformats.org/drawingml/2006/picture">
                  <pic:nvPicPr>
                    <pic:cNvPr id="1073" name="Picture 3"/>
                    <pic:cNvPicPr>
                      <a:picLocks noChangeAspect="1" noChangeArrowheads="1"/>
                    </pic:cNvPicPr>
                  </pic:nvPicPr>
                  <pic:blipFill>
                    <a:blip r:embed="rId45"/>
                    <a:srcRect b="36266"/>
                    <a:stretch>
                      <a:fillRect/>
                    </a:stretch>
                  </pic:blipFill>
                  <pic:spPr>
                    <a:xfrm>
                      <a:off x="0" y="0"/>
                      <a:ext cx="5572125" cy="2828925"/>
                    </a:xfrm>
                    <a:prstGeom prst="rect">
                      <a:avLst/>
                    </a:prstGeom>
                    <a:noFill/>
                    <a:ln>
                      <a:noFill/>
                    </a:ln>
                  </pic:spPr>
                </pic:pic>
              </a:graphicData>
            </a:graphic>
          </wp:inline>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both"/>
        <w:rPr>
          <w:rFonts w:hint="default"/>
        </w:rPr>
      </w:pPr>
      <w:r>
        <w:rPr>
          <w:rFonts w:hint="eastAsia"/>
        </w:rPr>
        <w:t>　施設等の検討状況をサービス利用の組み合わせでみると、要介護３以上で「検討していない」割合が最も高いものは、「訪問系を含む組み合わせ」で</w:t>
      </w:r>
      <w:r>
        <w:rPr>
          <w:rFonts w:hint="eastAsia"/>
        </w:rPr>
        <w:t>68.8</w:t>
      </w:r>
      <w:r>
        <w:rPr>
          <w:rFonts w:hint="eastAsia"/>
        </w:rPr>
        <w:t>％となっています。</w:t>
      </w:r>
    </w:p>
    <w:p>
      <w:pPr>
        <w:pStyle w:val="0"/>
        <w:jc w:val="both"/>
        <w:rPr>
          <w:rFonts w:hint="default"/>
        </w:rPr>
      </w:pPr>
      <w:r>
        <w:rPr>
          <w:rFonts w:hint="eastAsia"/>
        </w:rPr>
        <w:t>　平成</w:t>
      </w:r>
      <w:r>
        <w:rPr>
          <w:rFonts w:hint="eastAsia"/>
        </w:rPr>
        <w:t>29</w:t>
      </w:r>
      <w:r>
        <w:rPr>
          <w:rFonts w:hint="eastAsia"/>
        </w:rPr>
        <w:t>年調査と比較すると、「訪問系を含む組み合わせ」での割合が</w:t>
      </w:r>
      <w:r>
        <w:rPr>
          <w:rFonts w:hint="eastAsia"/>
        </w:rPr>
        <w:t>8.3</w:t>
      </w:r>
      <w:r>
        <w:rPr>
          <w:rFonts w:hint="eastAsia"/>
        </w:rPr>
        <w:t>ポイント増加しています。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w:t>
      </w:r>
      <w:r>
        <w:rPr>
          <w:rFonts w:hint="default" w:ascii="ＭＳ ゴシック" w:hAnsi="ＭＳ ゴシック" w:eastAsia="ＭＳ ゴシック"/>
          <w:sz w:val="21"/>
        </w:rPr>
        <w:t>7</w:t>
      </w:r>
      <w:r>
        <w:rPr>
          <w:rFonts w:hint="eastAsia" w:ascii="ＭＳ ゴシック" w:hAnsi="ＭＳ ゴシック" w:eastAsia="ＭＳ ゴシック"/>
          <w:sz w:val="21"/>
        </w:rPr>
        <w:t>：サービスの組み合わせと施設等検討の状況（要介護３以上）</w:t>
      </w:r>
    </w:p>
    <w:p>
      <w:pPr>
        <w:pStyle w:val="0"/>
        <w:jc w:val="center"/>
        <w:rPr>
          <w:rFonts w:hint="default"/>
        </w:rPr>
      </w:pPr>
      <w:r>
        <w:rPr>
          <w:rFonts w:hint="default"/>
        </w:rPr>
        <w:drawing>
          <wp:inline distT="0" distB="0" distL="0" distR="0">
            <wp:extent cx="5572125" cy="2819400"/>
            <wp:effectExtent l="0" t="0" r="0" b="0"/>
            <wp:docPr id="1074" name="Picture 4"/>
            <a:graphic xmlns:a="http://schemas.openxmlformats.org/drawingml/2006/main">
              <a:graphicData uri="http://schemas.openxmlformats.org/drawingml/2006/picture">
                <pic:pic xmlns:pic="http://schemas.openxmlformats.org/drawingml/2006/picture">
                  <pic:nvPicPr>
                    <pic:cNvPr id="1074" name="Picture 4"/>
                    <pic:cNvPicPr>
                      <a:picLocks noChangeAspect="1" noChangeArrowheads="1"/>
                    </pic:cNvPicPr>
                  </pic:nvPicPr>
                  <pic:blipFill>
                    <a:blip r:embed="rId46"/>
                    <a:srcRect b="36617"/>
                    <a:stretch>
                      <a:fillRect/>
                    </a:stretch>
                  </pic:blipFill>
                  <pic:spPr>
                    <a:xfrm>
                      <a:off x="0" y="0"/>
                      <a:ext cx="5572125" cy="2819400"/>
                    </a:xfrm>
                    <a:prstGeom prst="rect">
                      <a:avLst/>
                    </a:prstGeom>
                    <a:noFill/>
                    <a:ln>
                      <a:noFill/>
                    </a:ln>
                  </pic:spPr>
                </pic:pic>
              </a:graphicData>
            </a:graphic>
          </wp:inline>
        </w:drawing>
      </w:r>
    </w:p>
    <w:p>
      <w:pPr>
        <w:pStyle w:val="0"/>
        <w:rPr>
          <w:rFonts w:hint="default"/>
        </w:rPr>
      </w:pPr>
    </w:p>
    <w:p>
      <w:pPr>
        <w:pStyle w:val="0"/>
        <w:ind w:firstLine="240" w:firstLineChars="100"/>
        <w:jc w:val="both"/>
        <w:rPr>
          <w:rFonts w:hint="default"/>
        </w:rPr>
      </w:pPr>
      <w:r>
        <w:rPr>
          <w:rFonts w:hint="eastAsia"/>
        </w:rPr>
        <w:t>施設等の検討状況を訪問系サービスの利用回数別でみると、要介護３以上で「検討していない」割合は、利用回数が「訪問系１～</w:t>
      </w:r>
      <w:r>
        <w:rPr>
          <w:rFonts w:hint="default"/>
        </w:rPr>
        <w:t>14</w:t>
      </w:r>
      <w:r>
        <w:rPr>
          <w:rFonts w:hint="default"/>
        </w:rPr>
        <w:t>回」</w:t>
      </w:r>
      <w:r>
        <w:rPr>
          <w:rFonts w:hint="eastAsia"/>
        </w:rPr>
        <w:t>で</w:t>
      </w:r>
      <w:r>
        <w:rPr>
          <w:rFonts w:hint="default"/>
        </w:rPr>
        <w:t>最も高く</w:t>
      </w:r>
      <w:r>
        <w:rPr>
          <w:rFonts w:hint="eastAsia"/>
        </w:rPr>
        <w:t>67.9</w:t>
      </w:r>
      <w:r>
        <w:rPr>
          <w:rFonts w:hint="eastAsia"/>
        </w:rPr>
        <w:t>％と</w:t>
      </w:r>
      <w:r>
        <w:rPr>
          <w:rFonts w:hint="default"/>
        </w:rPr>
        <w:t>なっています。</w:t>
      </w:r>
    </w:p>
    <w:p>
      <w:pPr>
        <w:pStyle w:val="0"/>
        <w:jc w:val="both"/>
        <w:rPr>
          <w:rFonts w:hint="default"/>
        </w:rPr>
      </w:pPr>
      <w:r>
        <w:rPr>
          <w:rFonts w:hint="eastAsia"/>
        </w:rPr>
        <w:t>　平成</w:t>
      </w:r>
      <w:r>
        <w:rPr>
          <w:rFonts w:hint="eastAsia"/>
        </w:rPr>
        <w:t>29</w:t>
      </w:r>
      <w:r>
        <w:rPr>
          <w:rFonts w:hint="eastAsia"/>
        </w:rPr>
        <w:t>年調査と比較すると、「訪問系１～</w:t>
      </w:r>
      <w:r>
        <w:rPr>
          <w:rFonts w:hint="default"/>
        </w:rPr>
        <w:t>14</w:t>
      </w:r>
      <w:r>
        <w:rPr>
          <w:rFonts w:hint="default"/>
        </w:rPr>
        <w:t>回」</w:t>
      </w:r>
      <w:r>
        <w:rPr>
          <w:rFonts w:hint="eastAsia"/>
        </w:rPr>
        <w:t>での割合が</w:t>
      </w:r>
      <w:r>
        <w:rPr>
          <w:rFonts w:hint="eastAsia"/>
        </w:rPr>
        <w:t>8.8</w:t>
      </w:r>
      <w:r>
        <w:rPr>
          <w:rFonts w:hint="eastAsia"/>
        </w:rPr>
        <w:t>ポイント減少しています。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w:t>
      </w:r>
      <w:r>
        <w:rPr>
          <w:rFonts w:hint="default" w:ascii="ＭＳ ゴシック" w:hAnsi="ＭＳ ゴシック" w:eastAsia="ＭＳ ゴシック"/>
          <w:sz w:val="21"/>
        </w:rPr>
        <w:t>8</w:t>
      </w:r>
      <w:r>
        <w:rPr>
          <w:rFonts w:hint="eastAsia" w:ascii="ＭＳ ゴシック" w:hAnsi="ＭＳ ゴシック" w:eastAsia="ＭＳ ゴシック"/>
          <w:sz w:val="21"/>
        </w:rPr>
        <w:t>：サービス利用回数と施設等検討の状況（訪問系、要介護３以上）</w:t>
      </w:r>
    </w:p>
    <w:p>
      <w:pPr>
        <w:pStyle w:val="0"/>
        <w:jc w:val="center"/>
        <w:rPr>
          <w:rFonts w:hint="default"/>
          <w:color w:val="FF0000"/>
        </w:rPr>
      </w:pPr>
      <w:r>
        <w:rPr>
          <w:rFonts w:hint="default"/>
          <w:color w:val="FF0000"/>
        </w:rPr>
        <w:drawing>
          <wp:inline distT="0" distB="0" distL="0" distR="0">
            <wp:extent cx="5572125" cy="2800350"/>
            <wp:effectExtent l="0" t="0" r="0" b="0"/>
            <wp:docPr id="1075" name="Picture 5"/>
            <a:graphic xmlns:a="http://schemas.openxmlformats.org/drawingml/2006/main">
              <a:graphicData uri="http://schemas.openxmlformats.org/drawingml/2006/picture">
                <pic:pic xmlns:pic="http://schemas.openxmlformats.org/drawingml/2006/picture">
                  <pic:nvPicPr>
                    <pic:cNvPr id="1075" name="Picture 5"/>
                    <pic:cNvPicPr>
                      <a:picLocks noChangeAspect="1" noChangeArrowheads="1"/>
                    </pic:cNvPicPr>
                  </pic:nvPicPr>
                  <pic:blipFill>
                    <a:blip r:embed="rId47"/>
                    <a:srcRect b="36909"/>
                    <a:stretch>
                      <a:fillRect/>
                    </a:stretch>
                  </pic:blipFill>
                  <pic:spPr>
                    <a:xfrm>
                      <a:off x="0" y="0"/>
                      <a:ext cx="5572125" cy="2800350"/>
                    </a:xfrm>
                    <a:prstGeom prst="rect">
                      <a:avLst/>
                    </a:prstGeom>
                    <a:noFill/>
                    <a:ln>
                      <a:noFill/>
                    </a:ln>
                  </pic:spPr>
                </pic:pic>
              </a:graphicData>
            </a:graphic>
          </wp:inline>
        </w:drawing>
      </w:r>
    </w:p>
    <w:p>
      <w:pPr>
        <w:pStyle w:val="0"/>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今後の在宅生活の継続に向けて、主な介護者が不安に感じる介護</w:t>
      </w:r>
    </w:p>
    <w:p>
      <w:pPr>
        <w:pStyle w:val="0"/>
        <w:ind w:firstLine="240" w:firstLineChars="100"/>
        <w:jc w:val="both"/>
        <w:rPr>
          <w:rFonts w:hint="default"/>
        </w:rPr>
      </w:pPr>
      <w:r>
        <w:rPr>
          <w:rFonts w:hint="eastAsia"/>
        </w:rPr>
        <w:t>現在の生活を継続していくにあたって、主な介護者のかたが不安に感じる介護等について、「</w:t>
      </w:r>
      <w:r>
        <w:rPr>
          <w:rFonts w:hint="default"/>
        </w:rPr>
        <w:t>外出の付き添い、送迎等</w:t>
      </w:r>
      <w:r>
        <w:rPr>
          <w:rFonts w:hint="eastAsia"/>
        </w:rPr>
        <w:t>」が最も高く</w:t>
      </w:r>
      <w:r>
        <w:rPr>
          <w:rFonts w:hint="eastAsia"/>
        </w:rPr>
        <w:t>37.3</w:t>
      </w:r>
      <w:r>
        <w:rPr>
          <w:rFonts w:hint="default"/>
        </w:rPr>
        <w:t>％、次いで「</w:t>
      </w:r>
      <w:r>
        <w:rPr>
          <w:rFonts w:hint="eastAsia"/>
        </w:rPr>
        <w:t>入浴・洗身</w:t>
      </w:r>
      <w:r>
        <w:rPr>
          <w:rFonts w:hint="default"/>
        </w:rPr>
        <w:t>」が</w:t>
      </w:r>
      <w:r>
        <w:rPr>
          <w:rFonts w:hint="eastAsia"/>
        </w:rPr>
        <w:t>32.4</w:t>
      </w:r>
      <w:r>
        <w:rPr>
          <w:rFonts w:hint="default"/>
        </w:rPr>
        <w:t>％、「</w:t>
      </w:r>
      <w:r>
        <w:rPr>
          <w:rFonts w:hint="eastAsia"/>
        </w:rPr>
        <w:t>その他の家事（掃除、洗濯、買い物等）</w:t>
      </w:r>
      <w:r>
        <w:rPr>
          <w:rFonts w:hint="default"/>
        </w:rPr>
        <w:t>」が</w:t>
      </w:r>
      <w:r>
        <w:rPr>
          <w:rFonts w:hint="eastAsia"/>
        </w:rPr>
        <w:t>30.3</w:t>
      </w:r>
      <w:r>
        <w:rPr>
          <w:rFonts w:hint="default"/>
        </w:rPr>
        <w:t>％と</w:t>
      </w:r>
      <w:r>
        <w:rPr>
          <w:rFonts w:hint="eastAsia"/>
        </w:rPr>
        <w:t>なっています。</w:t>
      </w:r>
    </w:p>
    <w:p>
      <w:pPr>
        <w:pStyle w:val="0"/>
        <w:jc w:val="both"/>
        <w:rPr>
          <w:rFonts w:hint="default"/>
        </w:rPr>
      </w:pPr>
      <w:r>
        <w:rPr>
          <w:rFonts w:hint="eastAsia"/>
        </w:rPr>
        <w:t>　平成</w:t>
      </w:r>
      <w:r>
        <w:rPr>
          <w:rFonts w:hint="eastAsia"/>
        </w:rPr>
        <w:t>29</w:t>
      </w:r>
      <w:r>
        <w:rPr>
          <w:rFonts w:hint="eastAsia"/>
        </w:rPr>
        <w:t>年調査と比較すると、前回最も高かった「認知症状への対応」は</w:t>
      </w:r>
      <w:r>
        <w:rPr>
          <w:rFonts w:hint="eastAsia"/>
        </w:rPr>
        <w:t>8.3</w:t>
      </w:r>
      <w:r>
        <w:rPr>
          <w:rFonts w:hint="eastAsia"/>
        </w:rPr>
        <w:t>ポイント減少していますが、今回最も高い「</w:t>
      </w:r>
      <w:r>
        <w:rPr>
          <w:rFonts w:hint="default"/>
        </w:rPr>
        <w:t>外出の付き添い、送迎等</w:t>
      </w:r>
      <w:r>
        <w:rPr>
          <w:rFonts w:hint="eastAsia"/>
        </w:rPr>
        <w:t>」は</w:t>
      </w:r>
      <w:r>
        <w:rPr>
          <w:rFonts w:hint="eastAsia"/>
        </w:rPr>
        <w:t>10.1</w:t>
      </w:r>
      <w:r>
        <w:rPr>
          <w:rFonts w:hint="eastAsia"/>
        </w:rPr>
        <w:t>ポイント増加しています。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3</w:t>
      </w:r>
      <w:r>
        <w:rPr>
          <w:rFonts w:hint="default" w:ascii="ＭＳ ゴシック" w:hAnsi="ＭＳ ゴシック" w:eastAsia="ＭＳ ゴシック"/>
          <w:sz w:val="21"/>
        </w:rPr>
        <w:t>9</w:t>
      </w:r>
      <w:r>
        <w:rPr>
          <w:rFonts w:hint="eastAsia" w:ascii="ＭＳ ゴシック" w:hAnsi="ＭＳ ゴシック" w:eastAsia="ＭＳ ゴシック"/>
          <w:sz w:val="21"/>
        </w:rPr>
        <w:t>：介護者が不安を感じる介護</w:t>
      </w:r>
    </w:p>
    <w:p>
      <w:pPr>
        <w:pStyle w:val="0"/>
        <w:jc w:val="center"/>
        <w:rPr>
          <w:rFonts w:hint="default"/>
        </w:rPr>
      </w:pPr>
      <w:r>
        <w:rPr>
          <w:rFonts w:hint="default"/>
        </w:rPr>
        <w:drawing>
          <wp:inline distT="0" distB="0" distL="0" distR="0">
            <wp:extent cx="6010275" cy="6562725"/>
            <wp:effectExtent l="0" t="0" r="0" b="0"/>
            <wp:docPr id="1076" name="Picture 7"/>
            <a:graphic xmlns:a="http://schemas.openxmlformats.org/drawingml/2006/main">
              <a:graphicData uri="http://schemas.openxmlformats.org/drawingml/2006/picture">
                <pic:pic xmlns:pic="http://schemas.openxmlformats.org/drawingml/2006/picture">
                  <pic:nvPicPr>
                    <pic:cNvPr id="1076" name="Picture 7"/>
                    <pic:cNvPicPr>
                      <a:picLocks noChangeAspect="1" noChangeArrowheads="1"/>
                    </pic:cNvPicPr>
                  </pic:nvPicPr>
                  <pic:blipFill>
                    <a:blip r:embed="rId48"/>
                    <a:stretch>
                      <a:fillRect/>
                    </a:stretch>
                  </pic:blipFill>
                  <pic:spPr>
                    <a:xfrm>
                      <a:off x="0" y="0"/>
                      <a:ext cx="6010275" cy="6562725"/>
                    </a:xfrm>
                    <a:prstGeom prst="rect">
                      <a:avLst/>
                    </a:prstGeom>
                    <a:noFill/>
                    <a:ln>
                      <a:noFill/>
                    </a:ln>
                  </pic:spPr>
                </pic:pic>
              </a:graphicData>
            </a:graphic>
          </wp:inline>
        </w:drawing>
      </w:r>
    </w:p>
    <w:p>
      <w:pPr>
        <w:pStyle w:val="0"/>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主な介護者の就労継続の可否にかかる意識</w:t>
      </w:r>
    </w:p>
    <w:p>
      <w:pPr>
        <w:pStyle w:val="0"/>
        <w:ind w:firstLine="240" w:firstLineChars="100"/>
        <w:jc w:val="both"/>
        <w:rPr>
          <w:rFonts w:hint="default"/>
        </w:rPr>
      </w:pPr>
      <w:r>
        <w:rPr>
          <w:rFonts w:hint="eastAsia"/>
        </w:rPr>
        <w:t>フルタイムやパートタイムで働いている主な介護者に、今後も働きながら介護を続けていけそうかについて聞いたところ、「問題はあるが、何とか続けていける」が最も高く</w:t>
      </w:r>
      <w:r>
        <w:rPr>
          <w:rFonts w:hint="eastAsia"/>
        </w:rPr>
        <w:t>43.7</w:t>
      </w:r>
      <w:r>
        <w:rPr>
          <w:rFonts w:hint="eastAsia"/>
        </w:rPr>
        <w:t>％、次いで「問題なく、続けていける」が</w:t>
      </w:r>
      <w:r>
        <w:rPr>
          <w:rFonts w:hint="eastAsia"/>
        </w:rPr>
        <w:t>20.8</w:t>
      </w:r>
      <w:r>
        <w:rPr>
          <w:rFonts w:hint="eastAsia"/>
        </w:rPr>
        <w:t>％、「続けていくのは、やや難しい」が</w:t>
      </w:r>
      <w:r>
        <w:rPr>
          <w:rFonts w:hint="eastAsia"/>
        </w:rPr>
        <w:t>9.0</w:t>
      </w:r>
      <w:r>
        <w:rPr>
          <w:rFonts w:hint="eastAsia"/>
        </w:rPr>
        <w:t>％となっています。</w:t>
      </w:r>
    </w:p>
    <w:p>
      <w:pPr>
        <w:pStyle w:val="0"/>
        <w:ind w:firstLine="240" w:firstLineChars="100"/>
        <w:jc w:val="both"/>
        <w:rPr>
          <w:rFonts w:hint="default"/>
        </w:rPr>
      </w:pPr>
      <w:r>
        <w:rPr>
          <w:rFonts w:hint="eastAsia"/>
        </w:rPr>
        <w:t>平成</w:t>
      </w:r>
      <w:r>
        <w:rPr>
          <w:rFonts w:hint="eastAsia"/>
        </w:rPr>
        <w:t>29</w:t>
      </w:r>
      <w:r>
        <w:rPr>
          <w:rFonts w:hint="eastAsia"/>
        </w:rPr>
        <w:t>年調査と比較すると、今後就労継続が困難だと考えているかた（「続けていくのは、やや難しい」と「続けていくのは、かなり難しい」の合計）は、</w:t>
      </w:r>
      <w:r>
        <w:rPr>
          <w:rFonts w:hint="eastAsia"/>
        </w:rPr>
        <w:t>2.2</w:t>
      </w:r>
      <w:r>
        <w:rPr>
          <w:rFonts w:hint="eastAsia"/>
        </w:rPr>
        <w:t>ポイント減少しています。</w:t>
      </w:r>
    </w:p>
    <w:p>
      <w:pPr>
        <w:pStyle w:val="0"/>
        <w:ind w:firstLine="240" w:firstLineChars="10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0</w:t>
      </w:r>
      <w:r>
        <w:rPr>
          <w:rFonts w:hint="eastAsia" w:ascii="ＭＳ ゴシック" w:hAnsi="ＭＳ ゴシック" w:eastAsia="ＭＳ ゴシック"/>
          <w:sz w:val="21"/>
        </w:rPr>
        <w:t>：主な介護者の就労継続見込み</w:t>
      </w:r>
    </w:p>
    <w:p>
      <w:pPr>
        <w:pStyle w:val="0"/>
        <w:jc w:val="center"/>
        <w:rPr>
          <w:rFonts w:hint="default"/>
        </w:rPr>
      </w:pPr>
      <w:r>
        <w:rPr>
          <w:rFonts w:hint="default"/>
        </w:rPr>
        <w:drawing>
          <wp:inline distT="0" distB="0" distL="0" distR="0">
            <wp:extent cx="5524500" cy="1790700"/>
            <wp:effectExtent l="0" t="0" r="0" b="0"/>
            <wp:docPr id="1077" name="Picture 9"/>
            <a:graphic xmlns:a="http://schemas.openxmlformats.org/drawingml/2006/main">
              <a:graphicData uri="http://schemas.openxmlformats.org/drawingml/2006/picture">
                <pic:pic xmlns:pic="http://schemas.openxmlformats.org/drawingml/2006/picture">
                  <pic:nvPicPr>
                    <pic:cNvPr id="1077" name="Picture 9"/>
                    <pic:cNvPicPr>
                      <a:picLocks noChangeAspect="1" noChangeArrowheads="1"/>
                    </pic:cNvPicPr>
                  </pic:nvPicPr>
                  <pic:blipFill>
                    <a:blip r:embed="rId49"/>
                    <a:srcRect t="2155" b="57327"/>
                    <a:stretch>
                      <a:fillRect/>
                    </a:stretch>
                  </pic:blipFill>
                  <pic:spPr>
                    <a:xfrm>
                      <a:off x="0" y="0"/>
                      <a:ext cx="5524500" cy="1790700"/>
                    </a:xfrm>
                    <a:prstGeom prst="rect">
                      <a:avLst/>
                    </a:prstGeom>
                    <a:noFill/>
                    <a:ln>
                      <a:noFill/>
                    </a:ln>
                  </pic:spPr>
                </pic:pic>
              </a:graphicData>
            </a:graphic>
          </wp:inline>
        </w:drawing>
      </w:r>
    </w:p>
    <w:p>
      <w:pPr>
        <w:pStyle w:val="0"/>
        <w:jc w:val="center"/>
        <w:rPr>
          <w:rFonts w:hint="default" w:ascii="ＭＳ ゴシック" w:hAnsi="ＭＳ ゴシック" w:eastAsia="ＭＳ ゴシック"/>
          <w:sz w:val="21"/>
        </w:rPr>
      </w:pPr>
    </w:p>
    <w:p>
      <w:pPr>
        <w:pStyle w:val="0"/>
        <w:ind w:firstLine="240" w:firstLineChars="100"/>
        <w:jc w:val="both"/>
        <w:rPr>
          <w:rFonts w:hint="default"/>
        </w:rPr>
      </w:pPr>
      <w:r>
        <w:rPr>
          <w:rFonts w:hint="eastAsia"/>
        </w:rPr>
        <w:t>就労している介護者の今後の就労継続見込みをみると、今後の就業継続が困難と考えている割合は、「フルタイム勤務」で</w:t>
      </w:r>
      <w:r>
        <w:rPr>
          <w:rFonts w:hint="eastAsia"/>
        </w:rPr>
        <w:t>15.8</w:t>
      </w:r>
      <w:r>
        <w:rPr>
          <w:rFonts w:hint="default"/>
        </w:rPr>
        <w:t>％</w:t>
      </w:r>
      <w:r>
        <w:rPr>
          <w:rFonts w:hint="eastAsia"/>
        </w:rPr>
        <w:t>、「パートタイム勤務」で</w:t>
      </w:r>
      <w:r>
        <w:rPr>
          <w:rFonts w:hint="eastAsia"/>
        </w:rPr>
        <w:t>9.5</w:t>
      </w:r>
      <w:r>
        <w:rPr>
          <w:rFonts w:hint="eastAsia"/>
        </w:rPr>
        <w:t>％、「フルタイム勤務」が</w:t>
      </w:r>
      <w:r>
        <w:rPr>
          <w:rFonts w:hint="eastAsia"/>
        </w:rPr>
        <w:t>6.3</w:t>
      </w:r>
      <w:r>
        <w:rPr>
          <w:rFonts w:hint="eastAsia"/>
        </w:rPr>
        <w:t>ポイント多くなっています。</w:t>
      </w:r>
    </w:p>
    <w:p>
      <w:pPr>
        <w:pStyle w:val="0"/>
        <w:ind w:firstLine="240" w:firstLineChars="100"/>
        <w:jc w:val="both"/>
        <w:rPr>
          <w:rFonts w:hint="default"/>
        </w:rPr>
      </w:pPr>
      <w:r>
        <w:rPr>
          <w:rFonts w:hint="eastAsia"/>
        </w:rPr>
        <w:t>平成</w:t>
      </w:r>
      <w:r>
        <w:rPr>
          <w:rFonts w:hint="eastAsia"/>
        </w:rPr>
        <w:t>29</w:t>
      </w:r>
      <w:r>
        <w:rPr>
          <w:rFonts w:hint="eastAsia"/>
        </w:rPr>
        <w:t>年調査と比較すると、今後就労継続が困難だと考えているかたは、「フルタイム勤務」で</w:t>
      </w:r>
      <w:r>
        <w:rPr>
          <w:rFonts w:hint="eastAsia"/>
        </w:rPr>
        <w:t>1.8</w:t>
      </w:r>
      <w:r>
        <w:rPr>
          <w:rFonts w:hint="eastAsia"/>
        </w:rPr>
        <w:t>ポイント増加、「パートタイム勤務」で</w:t>
      </w:r>
      <w:r>
        <w:rPr>
          <w:rFonts w:hint="eastAsia"/>
        </w:rPr>
        <w:t>13.1</w:t>
      </w:r>
      <w:r>
        <w:rPr>
          <w:rFonts w:hint="eastAsia"/>
        </w:rPr>
        <w:t>ポイント減少しています。</w:t>
      </w:r>
    </w:p>
    <w:p>
      <w:pPr>
        <w:pStyle w:val="0"/>
        <w:jc w:val="both"/>
        <w:rPr>
          <w:rFonts w:hint="default"/>
        </w:rPr>
      </w:pPr>
    </w:p>
    <w:p>
      <w:pPr>
        <w:pStyle w:val="0"/>
        <w:jc w:val="center"/>
        <w:rPr>
          <w:rFonts w:hint="default" w:ascii="ＭＳ ゴシック" w:hAnsi="ＭＳ ゴシック" w:eastAsia="ＭＳ ゴシック"/>
          <w:sz w:val="21"/>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1</w:t>
      </w:r>
      <w:r>
        <w:rPr>
          <w:rFonts w:hint="eastAsia" w:ascii="ＭＳ ゴシック" w:hAnsi="ＭＳ ゴシック" w:eastAsia="ＭＳ ゴシック"/>
          <w:sz w:val="21"/>
        </w:rPr>
        <w:t>：就労状況別・就労継続見込み</w:t>
      </w:r>
    </w:p>
    <w:p>
      <w:pPr>
        <w:pStyle w:val="0"/>
        <w:jc w:val="center"/>
        <w:rPr>
          <w:rFonts w:hint="default"/>
        </w:rPr>
      </w:pPr>
      <w:r>
        <w:rPr>
          <w:rFonts w:hint="default"/>
        </w:rPr>
        <w:drawing>
          <wp:inline distT="0" distB="0" distL="0" distR="0">
            <wp:extent cx="5562600" cy="2428875"/>
            <wp:effectExtent l="0" t="0" r="0" b="0"/>
            <wp:docPr id="1078" name="Picture 10"/>
            <a:graphic xmlns:a="http://schemas.openxmlformats.org/drawingml/2006/main">
              <a:graphicData uri="http://schemas.openxmlformats.org/drawingml/2006/picture">
                <pic:pic xmlns:pic="http://schemas.openxmlformats.org/drawingml/2006/picture">
                  <pic:nvPicPr>
                    <pic:cNvPr id="1078" name="Picture 10"/>
                    <pic:cNvPicPr>
                      <a:picLocks noChangeAspect="1" noChangeArrowheads="1"/>
                    </pic:cNvPicPr>
                  </pic:nvPicPr>
                  <pic:blipFill>
                    <a:blip r:embed="rId50"/>
                    <a:srcRect t="1306" b="43138"/>
                    <a:stretch>
                      <a:fillRect/>
                    </a:stretch>
                  </pic:blipFill>
                  <pic:spPr>
                    <a:xfrm>
                      <a:off x="0" y="0"/>
                      <a:ext cx="5562600" cy="2428875"/>
                    </a:xfrm>
                    <a:prstGeom prst="rect">
                      <a:avLst/>
                    </a:prstGeom>
                    <a:noFill/>
                    <a:ln>
                      <a:noFill/>
                    </a:ln>
                  </pic:spPr>
                </pic:pic>
              </a:graphicData>
            </a:graphic>
          </wp:inline>
        </w:drawing>
      </w:r>
    </w:p>
    <w:p>
      <w:pPr>
        <w:pStyle w:val="0"/>
        <w:ind w:firstLine="240" w:firstLineChars="100"/>
        <w:jc w:val="both"/>
        <w:rPr>
          <w:rFonts w:hint="default"/>
        </w:rPr>
      </w:pPr>
      <w:r>
        <w:rPr>
          <w:rFonts w:hint="eastAsia"/>
        </w:rPr>
        <w:t>就労している介護者の就労継続見込みを、要介護度別にみると、今後の就業継続が困難と考える割合は、「要支援１～要介護１」で</w:t>
      </w:r>
      <w:r>
        <w:rPr>
          <w:rFonts w:hint="eastAsia"/>
        </w:rPr>
        <w:t>11.9</w:t>
      </w:r>
      <w:r>
        <w:rPr>
          <w:rFonts w:hint="eastAsia"/>
        </w:rPr>
        <w:t>％、「要介護２以上」で</w:t>
      </w:r>
      <w:r>
        <w:rPr>
          <w:rFonts w:hint="eastAsia"/>
        </w:rPr>
        <w:t>16.9</w:t>
      </w:r>
      <w:r>
        <w:rPr>
          <w:rFonts w:hint="eastAsia"/>
        </w:rPr>
        <w:t>％、「要介護２以上」が</w:t>
      </w:r>
      <w:r>
        <w:rPr>
          <w:rFonts w:hint="eastAsia"/>
        </w:rPr>
        <w:t>5.0</w:t>
      </w:r>
      <w:r>
        <w:rPr>
          <w:rFonts w:hint="eastAsia"/>
        </w:rPr>
        <w:t>ポイント多くなっています</w:t>
      </w:r>
      <w:r>
        <w:rPr>
          <w:rFonts w:hint="default"/>
        </w:rPr>
        <w:t>。</w:t>
      </w:r>
    </w:p>
    <w:p>
      <w:pPr>
        <w:pStyle w:val="0"/>
        <w:ind w:firstLine="240" w:firstLineChars="100"/>
        <w:jc w:val="both"/>
        <w:rPr>
          <w:rFonts w:hint="default"/>
        </w:rPr>
      </w:pPr>
      <w:r>
        <w:rPr>
          <w:rFonts w:hint="eastAsia"/>
        </w:rPr>
        <w:t>平成</w:t>
      </w:r>
      <w:r>
        <w:rPr>
          <w:rFonts w:hint="eastAsia"/>
        </w:rPr>
        <w:t>29</w:t>
      </w:r>
      <w:r>
        <w:rPr>
          <w:rFonts w:hint="eastAsia"/>
        </w:rPr>
        <w:t>年調査と比較すると、今後就労継続が困難だと考えているかたは、「要支援１～要介護１」で</w:t>
      </w:r>
      <w:r>
        <w:rPr>
          <w:rFonts w:hint="eastAsia"/>
        </w:rPr>
        <w:t>1.5</w:t>
      </w:r>
      <w:r>
        <w:rPr>
          <w:rFonts w:hint="eastAsia"/>
        </w:rPr>
        <w:t>ポイント増加、「要介護２以上」で</w:t>
      </w:r>
      <w:r>
        <w:rPr>
          <w:rFonts w:hint="eastAsia"/>
        </w:rPr>
        <w:t>7</w:t>
      </w:r>
      <w:r>
        <w:rPr>
          <w:rFonts w:hint="default"/>
        </w:rPr>
        <w:t>.8</w:t>
      </w:r>
      <w:r>
        <w:rPr>
          <w:rFonts w:hint="eastAsia"/>
        </w:rPr>
        <w:t>ポイント減少しています。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2</w:t>
      </w:r>
      <w:r>
        <w:rPr>
          <w:rFonts w:hint="eastAsia" w:ascii="ＭＳ ゴシック" w:hAnsi="ＭＳ ゴシック" w:eastAsia="ＭＳ ゴシック"/>
          <w:sz w:val="21"/>
        </w:rPr>
        <w:t>：要介護度別・就労継続見込み</w:t>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（フルタイム勤務＋パートタイム勤務）</w:t>
      </w:r>
    </w:p>
    <w:p>
      <w:pPr>
        <w:pStyle w:val="0"/>
        <w:jc w:val="center"/>
        <w:rPr>
          <w:rFonts w:hint="default"/>
        </w:rPr>
      </w:pPr>
      <w:r>
        <w:rPr>
          <w:rFonts w:hint="default"/>
        </w:rPr>
        <w:drawing>
          <wp:inline distT="0" distB="0" distL="0" distR="0">
            <wp:extent cx="5572125" cy="2438400"/>
            <wp:effectExtent l="0" t="0" r="0" b="0"/>
            <wp:docPr id="1079" name="Picture 11"/>
            <a:graphic xmlns:a="http://schemas.openxmlformats.org/drawingml/2006/main">
              <a:graphicData uri="http://schemas.openxmlformats.org/drawingml/2006/picture">
                <pic:pic xmlns:pic="http://schemas.openxmlformats.org/drawingml/2006/picture">
                  <pic:nvPicPr>
                    <pic:cNvPr id="1079" name="Picture 11"/>
                    <pic:cNvPicPr>
                      <a:picLocks noChangeAspect="1" noChangeArrowheads="1"/>
                    </pic:cNvPicPr>
                  </pic:nvPicPr>
                  <pic:blipFill>
                    <a:blip r:embed="rId51"/>
                    <a:srcRect t="2161" b="42549"/>
                    <a:stretch>
                      <a:fillRect/>
                    </a:stretch>
                  </pic:blipFill>
                  <pic:spPr>
                    <a:xfrm>
                      <a:off x="0" y="0"/>
                      <a:ext cx="5572125" cy="2438400"/>
                    </a:xfrm>
                    <a:prstGeom prst="rect">
                      <a:avLst/>
                    </a:prstGeom>
                    <a:noFill/>
                    <a:ln>
                      <a:noFill/>
                    </a:ln>
                  </pic:spPr>
                </pic:pic>
              </a:graphicData>
            </a:graphic>
          </wp:inline>
        </w:drawing>
      </w:r>
    </w:p>
    <w:p>
      <w:pPr>
        <w:pStyle w:val="0"/>
        <w:jc w:val="both"/>
        <w:rPr>
          <w:rFonts w:hint="default"/>
        </w:rPr>
      </w:pPr>
    </w:p>
    <w:p>
      <w:pPr>
        <w:pStyle w:val="0"/>
        <w:ind w:firstLine="240" w:firstLineChars="100"/>
        <w:jc w:val="both"/>
        <w:rPr>
          <w:rFonts w:hint="default"/>
        </w:rPr>
      </w:pPr>
      <w:r>
        <w:rPr>
          <w:rFonts w:hint="eastAsia"/>
        </w:rPr>
        <w:t>要介護２以上でサービスの組み合わせと就労継続見込みとの関係をみると、今後の就業継続が困難と考える割合は、「訪問系利用あり」で</w:t>
      </w:r>
      <w:r>
        <w:rPr>
          <w:rFonts w:hint="eastAsia"/>
        </w:rPr>
        <w:t>14.3</w:t>
      </w:r>
      <w:r>
        <w:rPr>
          <w:rFonts w:hint="eastAsia"/>
        </w:rPr>
        <w:t>％、「訪問系利用なし」で</w:t>
      </w:r>
      <w:r>
        <w:rPr>
          <w:rFonts w:hint="eastAsia"/>
        </w:rPr>
        <w:t>20.0</w:t>
      </w:r>
      <w:r>
        <w:rPr>
          <w:rFonts w:hint="eastAsia"/>
        </w:rPr>
        <w:t>％、「訪問系利用なし」が</w:t>
      </w:r>
      <w:r>
        <w:rPr>
          <w:rFonts w:hint="eastAsia"/>
        </w:rPr>
        <w:t>5.7</w:t>
      </w:r>
      <w:r>
        <w:rPr>
          <w:rFonts w:hint="eastAsia"/>
        </w:rPr>
        <w:t>ポイント多くなっています。</w:t>
      </w:r>
    </w:p>
    <w:p>
      <w:pPr>
        <w:pStyle w:val="0"/>
        <w:ind w:firstLine="240" w:firstLineChars="100"/>
        <w:jc w:val="both"/>
        <w:rPr>
          <w:rFonts w:hint="default"/>
        </w:rPr>
      </w:pPr>
      <w:r>
        <w:rPr>
          <w:rFonts w:hint="eastAsia"/>
        </w:rPr>
        <w:t>平成</w:t>
      </w:r>
      <w:r>
        <w:rPr>
          <w:rFonts w:hint="eastAsia"/>
        </w:rPr>
        <w:t>29</w:t>
      </w:r>
      <w:r>
        <w:rPr>
          <w:rFonts w:hint="eastAsia"/>
        </w:rPr>
        <w:t>年調査と比較すると、今後就労継続が困難だと考えているかたは、「訪問系利用あり」で</w:t>
      </w:r>
      <w:r>
        <w:rPr>
          <w:rFonts w:hint="eastAsia"/>
        </w:rPr>
        <w:t>10.3</w:t>
      </w:r>
      <w:r>
        <w:rPr>
          <w:rFonts w:hint="eastAsia"/>
        </w:rPr>
        <w:t>ポイント減少、「訪問系利用なし」で</w:t>
      </w:r>
      <w:r>
        <w:rPr>
          <w:rFonts w:hint="eastAsia"/>
        </w:rPr>
        <w:t>5.0</w:t>
      </w:r>
      <w:r>
        <w:rPr>
          <w:rFonts w:hint="eastAsia"/>
        </w:rPr>
        <w:t>ポイント減少しています。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3</w:t>
      </w:r>
      <w:r>
        <w:rPr>
          <w:rFonts w:hint="eastAsia" w:ascii="ＭＳ ゴシック" w:hAnsi="ＭＳ ゴシック" w:eastAsia="ＭＳ ゴシック"/>
          <w:sz w:val="21"/>
        </w:rPr>
        <w:t>：サービス利用の組み合わせ別・就労継続見込み</w:t>
      </w: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（要介護２以上、フルタイム勤務＋パートタイム勤務）</w:t>
      </w:r>
    </w:p>
    <w:p>
      <w:pPr>
        <w:pStyle w:val="0"/>
        <w:jc w:val="center"/>
        <w:rPr>
          <w:rFonts w:hint="default"/>
        </w:rPr>
      </w:pPr>
      <w:r>
        <w:rPr>
          <w:rFonts w:hint="default"/>
        </w:rPr>
        <w:drawing>
          <wp:anchor distT="0" distB="0" distL="114300" distR="114300" simplePos="0" relativeHeight="129" behindDoc="0" locked="0" layoutInCell="1" hidden="0" allowOverlap="1">
            <wp:simplePos x="0" y="0"/>
            <wp:positionH relativeFrom="column">
              <wp:posOffset>304800</wp:posOffset>
            </wp:positionH>
            <wp:positionV relativeFrom="paragraph">
              <wp:posOffset>19050</wp:posOffset>
            </wp:positionV>
            <wp:extent cx="5572125" cy="2419350"/>
            <wp:effectExtent l="0" t="0" r="0" b="0"/>
            <wp:wrapNone/>
            <wp:docPr id="1080" name="Picture 12"/>
            <a:graphic xmlns:a="http://schemas.openxmlformats.org/drawingml/2006/main">
              <a:graphicData uri="http://schemas.openxmlformats.org/drawingml/2006/picture">
                <pic:pic xmlns:pic="http://schemas.openxmlformats.org/drawingml/2006/picture">
                  <pic:nvPicPr>
                    <pic:cNvPr id="1080" name="Picture 12"/>
                    <pic:cNvPicPr>
                      <a:picLocks noChangeAspect="1" noChangeArrowheads="1"/>
                    </pic:cNvPicPr>
                  </pic:nvPicPr>
                  <pic:blipFill>
                    <a:blip r:embed="rId52"/>
                    <a:srcRect t="1944" b="43198"/>
                    <a:stretch>
                      <a:fillRect/>
                    </a:stretch>
                  </pic:blipFill>
                  <pic:spPr>
                    <a:xfrm>
                      <a:off x="0" y="0"/>
                      <a:ext cx="5572125" cy="241935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bl>
      <w:tblPr>
        <w:tblStyle w:val="60"/>
        <w:tblW w:w="9716" w:type="dxa"/>
        <w:tblInd w:w="0" w:type="dxa"/>
        <w:tblLayout w:type="fixed"/>
        <w:tblLook w:firstRow="1" w:lastRow="0" w:firstColumn="1" w:lastColumn="0" w:noHBand="0" w:noVBand="1" w:val="04A0"/>
      </w:tblPr>
      <w:tblGrid>
        <w:gridCol w:w="9716"/>
      </w:tblGrid>
      <w:tr>
        <w:trPr/>
        <w:tc>
          <w:tcPr>
            <w:tcW w:w="971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②家族介護者アンケート調査</w:t>
            </w:r>
          </w:p>
          <w:p>
            <w:pPr>
              <w:pStyle w:val="0"/>
              <w:rPr>
                <w:rFonts w:hint="default" w:ascii="ＭＳ 明朝" w:hAnsi="ＭＳ 明朝" w:eastAsia="ＭＳ 明朝"/>
                <w:color w:val="000000" w:themeColor="text1"/>
                <w:sz w:val="24"/>
              </w:rPr>
            </w:pPr>
            <w:r>
              <w:rPr>
                <w:rFonts w:hint="eastAsia" w:ascii="ＭＳ 明朝" w:hAnsi="ＭＳ 明朝" w:eastAsia="ＭＳ 明朝"/>
                <w:sz w:val="24"/>
              </w:rPr>
              <w:t>　□調査期間：令和２</w:t>
            </w:r>
            <w:r>
              <w:rPr>
                <w:rFonts w:hint="default" w:ascii="ＭＳ 明朝" w:hAnsi="ＭＳ 明朝" w:eastAsia="ＭＳ 明朝"/>
                <w:sz w:val="24"/>
              </w:rPr>
              <w:t>年</w:t>
            </w:r>
            <w:r>
              <w:rPr>
                <w:rFonts w:hint="eastAsia" w:ascii="ＭＳ 明朝" w:hAnsi="ＭＳ 明朝" w:eastAsia="ＭＳ 明朝"/>
                <w:sz w:val="24"/>
              </w:rPr>
              <w:t>(20</w:t>
            </w:r>
            <w:r>
              <w:rPr>
                <w:rFonts w:hint="eastAsia" w:ascii="ＭＳ 明朝" w:hAnsi="ＭＳ 明朝" w:eastAsia="ＭＳ 明朝"/>
                <w:color w:val="000000" w:themeColor="text1"/>
                <w:sz w:val="24"/>
              </w:rPr>
              <w:t>20</w:t>
            </w:r>
            <w:r>
              <w:rPr>
                <w:rFonts w:hint="eastAsia" w:ascii="ＭＳ 明朝" w:hAnsi="ＭＳ 明朝" w:eastAsia="ＭＳ 明朝"/>
                <w:color w:val="000000" w:themeColor="text1"/>
                <w:sz w:val="24"/>
              </w:rPr>
              <w:t>年</w:t>
            </w:r>
            <w:r>
              <w:rPr>
                <w:rFonts w:hint="eastAsia" w:ascii="ＭＳ 明朝" w:hAnsi="ＭＳ 明朝" w:eastAsia="ＭＳ 明朝"/>
                <w:color w:val="000000" w:themeColor="text1"/>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13</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（月）</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８</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28</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p>
          <w:p>
            <w:pPr>
              <w:pStyle w:val="0"/>
              <w:rPr>
                <w:rFonts w:hint="default" w:ascii="ＭＳ 明朝" w:hAnsi="ＭＳ 明朝" w:eastAsia="ＭＳ 明朝"/>
                <w:sz w:val="24"/>
              </w:rPr>
            </w:pPr>
            <w:r>
              <w:rPr>
                <w:rFonts w:hint="eastAsia" w:ascii="ＭＳ 明朝" w:hAnsi="ＭＳ 明朝" w:eastAsia="ＭＳ 明朝"/>
                <w:color w:val="000000" w:themeColor="text1"/>
                <w:sz w:val="24"/>
              </w:rPr>
              <w:t>　</w:t>
            </w:r>
            <w:r>
              <w:rPr>
                <w:rFonts w:hint="eastAsia" w:ascii="ＭＳ 明朝" w:hAnsi="ＭＳ 明朝" w:eastAsia="ＭＳ 明朝"/>
                <w:sz w:val="24"/>
              </w:rPr>
              <w:t>□調査対象：</w:t>
            </w:r>
          </w:p>
          <w:p>
            <w:pPr>
              <w:pStyle w:val="0"/>
              <w:ind w:firstLine="480" w:firstLineChars="200"/>
              <w:rPr>
                <w:rFonts w:hint="default" w:ascii="ＭＳ 明朝" w:hAnsi="ＭＳ 明朝" w:eastAsia="ＭＳ 明朝"/>
                <w:sz w:val="24"/>
              </w:rPr>
            </w:pPr>
            <w:r>
              <w:rPr>
                <w:rFonts w:hint="eastAsia" w:ascii="ＭＳ 明朝" w:hAnsi="ＭＳ 明朝" w:eastAsia="ＭＳ 明朝"/>
                <w:sz w:val="24"/>
              </w:rPr>
              <w:t>・箕面認知症家族会（びわの会）</w:t>
            </w:r>
          </w:p>
          <w:p>
            <w:pPr>
              <w:pStyle w:val="0"/>
              <w:ind w:firstLine="960" w:firstLineChars="400"/>
              <w:rPr>
                <w:rFonts w:hint="default" w:ascii="ＭＳ 明朝" w:hAnsi="ＭＳ 明朝" w:eastAsia="ＭＳ 明朝"/>
                <w:sz w:val="24"/>
              </w:rPr>
            </w:pPr>
            <w:r>
              <w:rPr>
                <w:rFonts w:hint="eastAsia" w:ascii="ＭＳ 明朝" w:hAnsi="ＭＳ 明朝" w:eastAsia="ＭＳ 明朝"/>
                <w:sz w:val="24"/>
              </w:rPr>
              <w:t>認知症高齢者等を介護している（していた）家族が会員となり活動する団体</w:t>
            </w:r>
          </w:p>
          <w:p>
            <w:pPr>
              <w:pStyle w:val="0"/>
              <w:rPr>
                <w:rFonts w:hint="default" w:ascii="ＭＳ 明朝" w:hAnsi="ＭＳ 明朝" w:eastAsia="ＭＳ 明朝"/>
                <w:sz w:val="24"/>
              </w:rPr>
            </w:pPr>
            <w:r>
              <w:rPr>
                <w:rFonts w:hint="eastAsia" w:ascii="ＭＳ 明朝" w:hAnsi="ＭＳ 明朝" w:eastAsia="ＭＳ 明朝"/>
                <w:sz w:val="24"/>
              </w:rPr>
              <w:t>　　・男性介護者のつどい</w:t>
            </w:r>
          </w:p>
          <w:p>
            <w:pPr>
              <w:pStyle w:val="0"/>
              <w:ind w:firstLine="960" w:firstLineChars="400"/>
              <w:rPr>
                <w:rFonts w:hint="default" w:ascii="ＭＳ 明朝" w:hAnsi="ＭＳ 明朝" w:eastAsia="ＭＳ 明朝"/>
                <w:sz w:val="24"/>
              </w:rPr>
            </w:pPr>
            <w:r>
              <w:rPr>
                <w:rFonts w:hint="eastAsia" w:ascii="ＭＳ 明朝" w:hAnsi="ＭＳ 明朝" w:eastAsia="ＭＳ 明朝"/>
                <w:sz w:val="24"/>
              </w:rPr>
              <w:t>男性介護者間で相談・交流を行う市主催の会</w:t>
            </w:r>
          </w:p>
        </w:tc>
      </w:tr>
    </w:tbl>
    <w:p>
      <w:pPr>
        <w:pStyle w:val="0"/>
        <w:rPr>
          <w:rFonts w:hint="default" w:ascii="ＭＳ ゴシック" w:hAnsi="ＭＳ ゴシック" w:eastAsia="ＭＳ ゴシック"/>
        </w:rPr>
      </w:pPr>
    </w:p>
    <w:p>
      <w:pPr>
        <w:pStyle w:val="0"/>
        <w:jc w:val="both"/>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相談先について</w:t>
      </w:r>
    </w:p>
    <w:p>
      <w:pPr>
        <w:pStyle w:val="0"/>
        <w:ind w:left="480" w:hanging="480" w:hangingChars="200"/>
        <w:jc w:val="both"/>
        <w:rPr>
          <w:rFonts w:hint="default"/>
        </w:rPr>
      </w:pPr>
      <w:r>
        <w:rPr>
          <w:rFonts w:hint="eastAsia"/>
        </w:rPr>
        <w:t>　○　相談窓口としてどこが多いかという問いに対して、「地域包括支援センター」または「ケアマネジャー」という回答が多く、そのほか、「かかりつけ医」、「友人」なども挙がっています。</w:t>
      </w:r>
    </w:p>
    <w:p>
      <w:pPr>
        <w:pStyle w:val="0"/>
        <w:ind w:left="480" w:hanging="480" w:hangingChars="200"/>
        <w:jc w:val="both"/>
        <w:rPr>
          <w:rFonts w:hint="default"/>
        </w:rPr>
      </w:pPr>
      <w:r>
        <w:rPr>
          <w:rFonts w:hint="eastAsia"/>
        </w:rPr>
        <w:t>　○　また、相談窓口の周知方法については、「市のホームページや広報紙に常時掲載する」など、電子媒体と紙媒体と双方での周知が必要との意見が挙がっています。</w:t>
      </w:r>
    </w:p>
    <w:p>
      <w:pPr>
        <w:pStyle w:val="0"/>
        <w:jc w:val="both"/>
        <w:rPr>
          <w:rFonts w:hint="default" w:ascii="ＭＳ ゴシック" w:hAnsi="ＭＳ ゴシック" w:eastAsia="ＭＳ ゴシック"/>
        </w:rPr>
      </w:pPr>
    </w:p>
    <w:p>
      <w:pPr>
        <w:pStyle w:val="0"/>
        <w:jc w:val="both"/>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介護者の困りごとについて</w:t>
      </w:r>
    </w:p>
    <w:p>
      <w:pPr>
        <w:pStyle w:val="0"/>
        <w:ind w:left="480" w:hanging="480" w:hangingChars="200"/>
        <w:jc w:val="both"/>
        <w:rPr>
          <w:rFonts w:hint="default"/>
        </w:rPr>
      </w:pPr>
      <w:r>
        <w:rPr>
          <w:rFonts w:hint="eastAsia"/>
        </w:rPr>
        <w:t>　○　「介護サービスやケアマネジャーをどこにお願いするか」、「介護サービスの費用負担」など介護サービスに関わる困りごとが挙がっています。</w:t>
      </w:r>
    </w:p>
    <w:p>
      <w:pPr>
        <w:pStyle w:val="0"/>
        <w:ind w:left="480" w:leftChars="100" w:hanging="240" w:hangingChars="100"/>
        <w:jc w:val="both"/>
        <w:rPr>
          <w:rFonts w:hint="default"/>
        </w:rPr>
      </w:pPr>
      <w:r>
        <w:rPr>
          <w:rFonts w:hint="eastAsia"/>
        </w:rPr>
        <w:t>○　また、「家族で介護を続けられるか」、「介護者自身の健康」、「介護の専門職ではないため、感情的になってしまう」など、家族介護者としての不安感も挙がっています。</w:t>
      </w:r>
    </w:p>
    <w:p>
      <w:pPr>
        <w:pStyle w:val="0"/>
        <w:jc w:val="both"/>
        <w:rPr>
          <w:rFonts w:hint="default" w:ascii="ＭＳ ゴシック" w:hAnsi="ＭＳ ゴシック" w:eastAsia="ＭＳ ゴシック"/>
        </w:rPr>
      </w:pPr>
    </w:p>
    <w:p>
      <w:pPr>
        <w:pStyle w:val="0"/>
        <w:jc w:val="both"/>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高齢者虐待防止について</w:t>
      </w:r>
    </w:p>
    <w:p>
      <w:pPr>
        <w:pStyle w:val="0"/>
        <w:ind w:left="480" w:hanging="480" w:hangingChars="200"/>
        <w:jc w:val="both"/>
        <w:rPr>
          <w:rFonts w:hint="default"/>
        </w:rPr>
      </w:pPr>
      <w:r>
        <w:rPr>
          <w:rFonts w:hint="eastAsia"/>
        </w:rPr>
        <w:t>　○　高齢者虐待の背景については、「介護者が孤立してしまうこと」、「介護者がストレスを発散できないこと」、「被介護者に対して、客観的になれずに感情的になってしまうこと」などの意見が挙がっています。</w:t>
      </w:r>
    </w:p>
    <w:p>
      <w:pPr>
        <w:pStyle w:val="0"/>
        <w:ind w:left="480" w:hanging="480" w:hangingChars="200"/>
        <w:jc w:val="both"/>
        <w:rPr>
          <w:rFonts w:hint="default" w:ascii="ＭＳ ゴシック" w:hAnsi="ＭＳ ゴシック" w:eastAsia="ＭＳ ゴシック"/>
        </w:rPr>
      </w:pPr>
      <w:r>
        <w:rPr>
          <w:rFonts w:hint="eastAsia"/>
        </w:rPr>
        <w:t>　○　虐待防止に向けた取組としては、「家族介護者の気持ちを聞いてもらう場や一緒に考えてもらう場を設けること」、「ヘルパーなど専門職による支援」、「ストレス発散できるような取組」、「地域の見守りなど第三者の目がどこまで入るか」などの意見が挙がっています。</w:t>
      </w:r>
    </w:p>
    <w:p>
      <w:pPr>
        <w:pStyle w:val="0"/>
        <w:jc w:val="both"/>
        <w:rPr>
          <w:rFonts w:hint="default" w:ascii="ＭＳ ゴシック" w:hAnsi="ＭＳ ゴシック" w:eastAsia="ＭＳ ゴシック"/>
        </w:rPr>
      </w:pPr>
    </w:p>
    <w:p>
      <w:pPr>
        <w:pStyle w:val="0"/>
        <w:jc w:val="both"/>
        <w:rPr>
          <w:rFonts w:hint="default"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u w:val="single" w:color="auto"/>
        </w:rPr>
        <w:t>家族会活動における地域連携について</w:t>
      </w:r>
    </w:p>
    <w:p>
      <w:pPr>
        <w:pStyle w:val="0"/>
        <w:ind w:left="480" w:hanging="480" w:hangingChars="200"/>
        <w:jc w:val="both"/>
        <w:rPr>
          <w:rFonts w:hint="default"/>
        </w:rPr>
      </w:pPr>
      <w:r>
        <w:rPr>
          <w:rFonts w:hint="eastAsia"/>
        </w:rPr>
        <w:t>　○　「家族会が、地域包括支援センターや認知症の専門医などと、もっと積極的に連携していく必要がある」との意見が挙がっています。</w:t>
      </w:r>
    </w:p>
    <w:p>
      <w:pPr>
        <w:pStyle w:val="0"/>
        <w:ind w:left="480" w:hanging="480" w:hangingChars="200"/>
        <w:jc w:val="both"/>
        <w:rPr>
          <w:rFonts w:hint="default"/>
        </w:rPr>
      </w:pPr>
      <w:r>
        <w:rPr>
          <w:rFonts w:hint="eastAsia"/>
        </w:rPr>
        <w:t>　○　「家族会の存在をもっとＰＲして、地域と連携していく必要がある」との意見も挙がっています。</w:t>
      </w:r>
    </w:p>
    <w:p>
      <w:pPr>
        <w:pStyle w:val="0"/>
        <w:ind w:left="480" w:hanging="480" w:hangingChars="200"/>
        <w:rPr>
          <w:rFonts w:hint="default"/>
        </w:rPr>
      </w:pPr>
    </w:p>
    <w:p>
      <w:pPr>
        <w:pStyle w:val="0"/>
        <w:rPr>
          <w:rFonts w:hint="default"/>
        </w:rPr>
      </w:pPr>
    </w:p>
    <w:p>
      <w:pPr>
        <w:pStyle w:val="0"/>
        <w:rPr>
          <w:rFonts w:hint="default"/>
        </w:rPr>
      </w:pPr>
    </w:p>
    <w:p>
      <w:pPr>
        <w:rPr>
          <w:rFonts w:hint="default" w:ascii="メイリオ" w:hAnsi="メイリオ" w:eastAsia="メイリオ"/>
          <w:sz w:val="28"/>
        </w:rPr>
        <w:sectPr>
          <w:pgSz w:w="11906" w:h="16838"/>
          <w:pgMar w:top="1440" w:right="1080" w:bottom="1440" w:left="1080" w:header="851" w:footer="454" w:gutter="0"/>
          <w:cols w:space="720"/>
          <w:textDirection w:val="lrTb"/>
          <w:docGrid w:type="lines" w:linePitch="360"/>
        </w:sectPr>
      </w:pPr>
    </w:p>
    <w:p>
      <w:pPr>
        <w:pStyle w:val="4"/>
        <w:ind w:left="0" w:leftChars="0"/>
        <w:rPr>
          <w:rFonts w:hint="default" w:ascii="メイリオ" w:hAnsi="メイリオ" w:eastAsia="メイリオ"/>
          <w:b w:val="0"/>
          <w:sz w:val="28"/>
        </w:rPr>
      </w:pPr>
      <w:bookmarkStart w:id="34" w:name="_Toc59007766"/>
      <w:r>
        <w:rPr>
          <w:rFonts w:hint="eastAsia" w:ascii="メイリオ" w:hAnsi="メイリオ" w:eastAsia="メイリオ"/>
          <w:b w:val="0"/>
          <w:sz w:val="28"/>
        </w:rPr>
        <w:t>（３）事業者の意識・実態</w:t>
      </w:r>
      <w:bookmarkEnd w:id="34"/>
    </w:p>
    <w:p>
      <w:pPr>
        <w:pStyle w:val="0"/>
        <w:ind w:firstLine="240" w:firstLineChars="100"/>
        <w:rPr>
          <w:rFonts w:hint="default"/>
        </w:rPr>
      </w:pPr>
      <w:r>
        <w:rPr>
          <w:rFonts w:hint="eastAsia"/>
        </w:rPr>
        <w:t>事業者の意識・実態について、次の調査から主な意見を整理しました。</w:t>
      </w:r>
    </w:p>
    <w:p>
      <w:pPr>
        <w:pStyle w:val="0"/>
        <w:rPr>
          <w:rFonts w:hint="default"/>
        </w:rPr>
      </w:pPr>
    </w:p>
    <w:tbl>
      <w:tblPr>
        <w:tblStyle w:val="60"/>
        <w:tblW w:w="9716" w:type="dxa"/>
        <w:tblInd w:w="0" w:type="dxa"/>
        <w:tblLayout w:type="fixed"/>
        <w:tblLook w:firstRow="1" w:lastRow="0" w:firstColumn="1" w:lastColumn="0" w:noHBand="0" w:noVBand="1" w:val="04A0"/>
      </w:tblPr>
      <w:tblGrid>
        <w:gridCol w:w="9716"/>
      </w:tblGrid>
      <w:tr>
        <w:trPr/>
        <w:tc>
          <w:tcPr>
            <w:tcW w:w="971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①居宅介護支援事業所及び介護予防支援事業所へのアンケート調査</w:t>
            </w:r>
          </w:p>
          <w:p>
            <w:pPr>
              <w:pStyle w:val="0"/>
              <w:rPr>
                <w:rFonts w:hint="default" w:ascii="ＭＳ 明朝" w:hAnsi="ＭＳ 明朝" w:eastAsia="ＭＳ 明朝"/>
                <w:color w:val="000000" w:themeColor="text1"/>
                <w:sz w:val="24"/>
              </w:rPr>
            </w:pPr>
            <w:r>
              <w:rPr>
                <w:rFonts w:hint="eastAsia" w:ascii="ＭＳ 明朝" w:hAnsi="ＭＳ 明朝" w:eastAsia="ＭＳ 明朝"/>
                <w:sz w:val="24"/>
              </w:rPr>
              <w:t>　□調査期間：令和２</w:t>
            </w:r>
            <w:r>
              <w:rPr>
                <w:rFonts w:hint="default" w:ascii="ＭＳ 明朝" w:hAnsi="ＭＳ 明朝" w:eastAsia="ＭＳ 明朝"/>
                <w:sz w:val="24"/>
              </w:rPr>
              <w:t>年</w:t>
            </w:r>
            <w:r>
              <w:rPr>
                <w:rFonts w:hint="eastAsia" w:ascii="ＭＳ 明朝" w:hAnsi="ＭＳ 明朝" w:eastAsia="ＭＳ 明朝"/>
                <w:sz w:val="24"/>
              </w:rPr>
              <w:t>(2020</w:t>
            </w:r>
            <w:r>
              <w:rPr>
                <w:rFonts w:hint="eastAsia" w:ascii="ＭＳ 明朝" w:hAnsi="ＭＳ 明朝" w:eastAsia="ＭＳ 明朝"/>
                <w:sz w:val="24"/>
              </w:rPr>
              <w:t>年</w:t>
            </w:r>
            <w:r>
              <w:rPr>
                <w:rFonts w:hint="eastAsia" w:ascii="ＭＳ 明朝" w:hAnsi="ＭＳ 明朝" w:eastAsia="ＭＳ 明朝"/>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17</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31</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p>
          <w:p>
            <w:pPr>
              <w:pStyle w:val="0"/>
              <w:rPr>
                <w:rFonts w:hint="default" w:ascii="ＭＳ 明朝" w:hAnsi="ＭＳ 明朝" w:eastAsia="ＭＳ 明朝"/>
                <w:sz w:val="24"/>
              </w:rPr>
            </w:pPr>
            <w:r>
              <w:rPr>
                <w:rFonts w:hint="eastAsia" w:ascii="ＭＳ 明朝" w:hAnsi="ＭＳ 明朝" w:eastAsia="ＭＳ 明朝"/>
                <w:color w:val="000000" w:themeColor="text1"/>
                <w:sz w:val="24"/>
              </w:rPr>
              <w:t>　</w:t>
            </w:r>
            <w:r>
              <w:rPr>
                <w:rFonts w:hint="eastAsia" w:ascii="ＭＳ 明朝" w:hAnsi="ＭＳ 明朝" w:eastAsia="ＭＳ 明朝"/>
                <w:sz w:val="24"/>
              </w:rPr>
              <w:t>□調査対象：居宅介護支援事業所　全</w:t>
            </w:r>
            <w:r>
              <w:rPr>
                <w:rFonts w:hint="eastAsia" w:ascii="ＭＳ 明朝" w:hAnsi="ＭＳ 明朝" w:eastAsia="ＭＳ 明朝"/>
                <w:sz w:val="24"/>
              </w:rPr>
              <w:t>43</w:t>
            </w:r>
            <w:r>
              <w:rPr>
                <w:rFonts w:hint="eastAsia" w:ascii="ＭＳ 明朝" w:hAnsi="ＭＳ 明朝" w:eastAsia="ＭＳ 明朝"/>
                <w:sz w:val="24"/>
              </w:rPr>
              <w:t>か所</w:t>
            </w:r>
          </w:p>
          <w:p>
            <w:pPr>
              <w:pStyle w:val="0"/>
              <w:ind w:firstLine="1680" w:firstLineChars="700"/>
              <w:rPr>
                <w:rFonts w:hint="default" w:ascii="ＭＳ 明朝" w:hAnsi="ＭＳ 明朝" w:eastAsia="ＭＳ 明朝"/>
                <w:sz w:val="24"/>
              </w:rPr>
            </w:pPr>
            <w:r>
              <w:rPr>
                <w:rFonts w:hint="eastAsia" w:ascii="ＭＳ 明朝" w:hAnsi="ＭＳ 明朝" w:eastAsia="ＭＳ 明朝"/>
                <w:sz w:val="24"/>
              </w:rPr>
              <w:t>地域包括支援センター（介護予防支援事業所）　全５か所</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□回収状況：</w:t>
            </w:r>
            <w:r>
              <w:rPr>
                <w:rFonts w:hint="eastAsia" w:ascii="ＭＳ 明朝" w:hAnsi="ＭＳ 明朝" w:eastAsia="ＭＳ 明朝"/>
                <w:sz w:val="24"/>
              </w:rPr>
              <w:t>18</w:t>
            </w:r>
            <w:r>
              <w:rPr>
                <w:rFonts w:hint="eastAsia" w:ascii="ＭＳ 明朝" w:hAnsi="ＭＳ 明朝" w:eastAsia="ＭＳ 明朝"/>
                <w:sz w:val="24"/>
              </w:rPr>
              <w:t>件</w:t>
            </w:r>
          </w:p>
        </w:tc>
      </w:tr>
    </w:tbl>
    <w:p>
      <w:pPr>
        <w:pStyle w:val="0"/>
        <w:rPr>
          <w:rFonts w:hint="default"/>
        </w:rPr>
      </w:pPr>
    </w:p>
    <w:p>
      <w:pPr>
        <w:pStyle w:val="0"/>
        <w:ind w:firstLine="240" w:firstLineChars="100"/>
        <w:jc w:val="both"/>
        <w:rPr>
          <w:rFonts w:hint="default"/>
        </w:rPr>
      </w:pPr>
      <w:r>
        <w:rPr>
          <w:rFonts w:hint="eastAsia"/>
        </w:rPr>
        <w:t>主に、次のような意見が挙がっています。</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地域包括ケアシステムの推進について</w:t>
      </w:r>
    </w:p>
    <w:p>
      <w:pPr>
        <w:pStyle w:val="0"/>
        <w:ind w:left="480" w:hanging="480" w:hangingChars="200"/>
        <w:jc w:val="both"/>
        <w:rPr>
          <w:rFonts w:hint="default"/>
        </w:rPr>
      </w:pPr>
      <w:r>
        <w:rPr>
          <w:rFonts w:hint="eastAsia"/>
        </w:rPr>
        <w:t>　○　自助・互助に関して、高齢者や家族に十分理解されていないと感じる。公助につなげる方法についても関係者の研修等が必要。</w:t>
      </w:r>
    </w:p>
    <w:p>
      <w:pPr>
        <w:pStyle w:val="0"/>
        <w:ind w:left="480" w:hanging="480" w:hangingChars="200"/>
        <w:jc w:val="both"/>
        <w:rPr>
          <w:rFonts w:hint="default"/>
        </w:rPr>
      </w:pPr>
      <w:r>
        <w:rPr>
          <w:rFonts w:hint="eastAsia"/>
        </w:rPr>
        <w:t>　○　歩いて行けるところに行き場がなく、日々の交流の場所が不足している。</w:t>
      </w:r>
    </w:p>
    <w:p>
      <w:pPr>
        <w:pStyle w:val="0"/>
        <w:ind w:firstLine="240" w:firstLineChars="100"/>
        <w:jc w:val="both"/>
        <w:rPr>
          <w:rFonts w:hint="default"/>
        </w:rPr>
      </w:pPr>
      <w:r>
        <w:rPr>
          <w:rFonts w:hint="eastAsia"/>
        </w:rPr>
        <w:t>○　外出に対しての移動支援が、十分にない。</w:t>
      </w:r>
    </w:p>
    <w:p>
      <w:pPr>
        <w:pStyle w:val="0"/>
        <w:ind w:left="480" w:leftChars="100" w:hanging="240" w:hangingChars="10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医療との連携について</w:t>
      </w:r>
    </w:p>
    <w:p>
      <w:pPr>
        <w:pStyle w:val="0"/>
        <w:ind w:left="480" w:hanging="480" w:hangingChars="200"/>
        <w:jc w:val="both"/>
        <w:rPr>
          <w:rFonts w:hint="default"/>
        </w:rPr>
      </w:pPr>
      <w:r>
        <w:rPr>
          <w:rFonts w:hint="eastAsia"/>
        </w:rPr>
        <w:t>　○　介護保険の制度理解が進み、以前よりスムーズに家族や関係者間での連携が取れるようになっているが、サービス付き高齢者向け住宅等の訪問診療については、在宅のような連携は取りにくい。</w:t>
      </w:r>
    </w:p>
    <w:p>
      <w:pPr>
        <w:pStyle w:val="0"/>
        <w:ind w:left="480" w:hanging="480" w:hangingChars="200"/>
        <w:jc w:val="both"/>
        <w:rPr>
          <w:rFonts w:hint="default"/>
        </w:rPr>
      </w:pPr>
      <w:r>
        <w:rPr>
          <w:rFonts w:hint="eastAsia"/>
        </w:rPr>
        <w:t>　○　医療機関との情報共有等（退院前カンファレンス、退院後の定期通院時における身体状況連絡、入院依頼等）については、連携シートを活用し、連携が進んでいる。</w:t>
      </w:r>
    </w:p>
    <w:p>
      <w:pPr>
        <w:pStyle w:val="0"/>
        <w:ind w:left="480" w:hanging="480" w:hangingChars="200"/>
        <w:jc w:val="both"/>
        <w:rPr>
          <w:rFonts w:hint="default"/>
        </w:rPr>
      </w:pPr>
      <w:r>
        <w:rPr>
          <w:rFonts w:hint="eastAsia"/>
        </w:rPr>
        <w:t>　○　箕面市内の訪問看護や往診医が少しずつ利用できつつあるが、現状として看取りのできる環境には乏しいため、入院せざるを得ない状況がある。</w:t>
      </w:r>
    </w:p>
    <w:p>
      <w:pPr>
        <w:pStyle w:val="0"/>
        <w:ind w:left="480" w:hanging="480" w:hangingChars="200"/>
        <w:jc w:val="both"/>
        <w:rPr>
          <w:rFonts w:hint="default"/>
        </w:rPr>
      </w:pPr>
      <w:r>
        <w:rPr>
          <w:rFonts w:hint="eastAsia"/>
        </w:rPr>
        <w:t>　○　退院後の支援から訪問医、訪問看護やリハビリへの移行がスムーズに行えており、訪問医が他市より充実していると思う。</w:t>
      </w:r>
    </w:p>
    <w:p>
      <w:pPr>
        <w:pStyle w:val="0"/>
        <w:jc w:val="both"/>
        <w:rPr>
          <w:rFonts w:hint="default"/>
        </w:rPr>
      </w:pPr>
    </w:p>
    <w:p>
      <w:pPr>
        <w:pStyle w:val="0"/>
        <w:jc w:val="both"/>
        <w:rPr>
          <w:rFonts w:hint="default"/>
          <w:strike w:val="1"/>
        </w:rPr>
      </w:pPr>
      <w:r>
        <w:rPr>
          <w:rFonts w:hint="eastAsia" w:ascii="ＭＳ ゴシック" w:hAnsi="ＭＳ ゴシック" w:eastAsia="ＭＳ ゴシック"/>
        </w:rPr>
        <w:t>■</w:t>
      </w:r>
      <w:r>
        <w:rPr>
          <w:rFonts w:hint="eastAsia" w:ascii="ＭＳ ゴシック" w:hAnsi="ＭＳ ゴシック" w:eastAsia="ＭＳ ゴシック"/>
          <w:u w:val="single" w:color="auto"/>
        </w:rPr>
        <w:t>認知症支援策について</w:t>
      </w:r>
    </w:p>
    <w:p>
      <w:pPr>
        <w:pStyle w:val="0"/>
        <w:ind w:left="480" w:leftChars="100" w:hanging="240" w:hangingChars="100"/>
        <w:jc w:val="both"/>
        <w:rPr>
          <w:rFonts w:hint="default"/>
        </w:rPr>
      </w:pPr>
      <w:r>
        <w:rPr>
          <w:rFonts w:hint="eastAsia"/>
        </w:rPr>
        <w:t>○　認知症家族からの理解を得て、近隣住民に認知症サポーター（認知症の理解者）になってもらい、見守り支援をしてもらうのが効果的ではないか。</w:t>
      </w:r>
    </w:p>
    <w:p>
      <w:pPr>
        <w:pStyle w:val="0"/>
        <w:ind w:left="480" w:hanging="480" w:hangingChars="200"/>
        <w:jc w:val="both"/>
        <w:rPr>
          <w:rFonts w:hint="default"/>
        </w:rPr>
      </w:pPr>
      <w:r>
        <w:rPr>
          <w:rFonts w:hint="eastAsia"/>
        </w:rPr>
        <w:t>　○　家族が認知症のことを理解して適切な介護ができていると、本人は穏やかに過ごせるので、家族会や勉強会はこれからも続けてほしい。</w:t>
      </w:r>
    </w:p>
    <w:p>
      <w:pPr>
        <w:pStyle w:val="0"/>
        <w:ind w:left="480" w:leftChars="100" w:hanging="240" w:hangingChars="100"/>
        <w:jc w:val="both"/>
        <w:rPr>
          <w:rFonts w:hint="default"/>
        </w:rPr>
      </w:pPr>
      <w:r>
        <w:rPr>
          <w:rFonts w:hint="eastAsia"/>
        </w:rPr>
        <w:t>○　認知症に対する理解はまだ低いと感じており、認知症サポーター養成講座の開催を増やすことや、認知症カフェの開設場所を増やすなどの取組が必要。</w:t>
      </w:r>
    </w:p>
    <w:p>
      <w:pPr>
        <w:pStyle w:val="0"/>
        <w:jc w:val="both"/>
        <w:rPr>
          <w:rFonts w:hint="default"/>
        </w:rPr>
      </w:pP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地域ケア会議の推進について</w:t>
      </w:r>
    </w:p>
    <w:p>
      <w:pPr>
        <w:pStyle w:val="0"/>
        <w:ind w:left="480" w:hanging="480" w:hangingChars="200"/>
        <w:jc w:val="both"/>
        <w:rPr>
          <w:rFonts w:hint="default"/>
        </w:rPr>
      </w:pPr>
      <w:r>
        <w:rPr>
          <w:rFonts w:hint="eastAsia"/>
        </w:rPr>
        <w:t>　○　個別会議では個別課題の解決支援はできていると思うが、レビュー会議では課題解決のための地域支援ネットワーク構築や地域課題の把握まではできていないと思うため、会議のありかたを検討していく必要がある。</w:t>
      </w:r>
    </w:p>
    <w:p>
      <w:pPr>
        <w:pStyle w:val="0"/>
        <w:ind w:left="480" w:hanging="480" w:hangingChars="200"/>
        <w:jc w:val="both"/>
        <w:rPr>
          <w:rFonts w:hint="default"/>
        </w:rPr>
      </w:pPr>
      <w:r>
        <w:rPr>
          <w:rFonts w:hint="eastAsia"/>
        </w:rPr>
        <w:t>　○　地域住民に対して、他人事ではなく自分たちにも必ず訪れる「老い」に対して、勉強会等を開催し、協力を得られやすくする取組が必要。</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生活支援サービスの充実・強化について</w:t>
      </w:r>
    </w:p>
    <w:p>
      <w:pPr>
        <w:pStyle w:val="0"/>
        <w:ind w:left="480" w:hanging="480" w:hangingChars="200"/>
        <w:jc w:val="both"/>
        <w:rPr>
          <w:rFonts w:hint="default"/>
        </w:rPr>
      </w:pPr>
      <w:r>
        <w:rPr>
          <w:rFonts w:hint="eastAsia"/>
        </w:rPr>
        <w:t>　○　自治会等によるゴミ出し支援がなかなか広がっていないように感じる。ゴミ出しの問題がクリアできれば、訪問介護を利用しなくてもよいかたがいるように思う。</w:t>
      </w:r>
    </w:p>
    <w:p>
      <w:pPr>
        <w:pStyle w:val="0"/>
        <w:ind w:left="480" w:hanging="480" w:hangingChars="200"/>
        <w:jc w:val="both"/>
        <w:rPr>
          <w:rFonts w:hint="default"/>
        </w:rPr>
      </w:pPr>
      <w:r>
        <w:rPr>
          <w:rFonts w:hint="eastAsia"/>
        </w:rPr>
        <w:t>　○　生活支援サービスの利用方法がよく分からない。</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地域の関係団体との連携について</w:t>
      </w:r>
    </w:p>
    <w:p>
      <w:pPr>
        <w:pStyle w:val="0"/>
        <w:ind w:left="480" w:hanging="480" w:hangingChars="200"/>
        <w:jc w:val="both"/>
        <w:rPr>
          <w:rFonts w:hint="default"/>
        </w:rPr>
      </w:pPr>
      <w:r>
        <w:rPr>
          <w:rFonts w:hint="eastAsia"/>
        </w:rPr>
        <w:t>　○　民生委員・児童委員等から独居等で見守りなどの何らかの支援が必要と思われるかたの情報を取得することで、訪問等において状態を確認でき、必要なかたは速やかにサービス等へつなげられている。要介護認定は非該当だが見守り等が必要なかたについては、民生委員・児童委員などへ積極的に情報提供し、連携していくことが必要。</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介護予防事業について</w:t>
      </w:r>
    </w:p>
    <w:p>
      <w:pPr>
        <w:pStyle w:val="0"/>
        <w:ind w:left="480" w:hanging="480" w:hangingChars="200"/>
        <w:jc w:val="both"/>
        <w:rPr>
          <w:rFonts w:hint="default"/>
        </w:rPr>
      </w:pPr>
      <w:r>
        <w:rPr>
          <w:rFonts w:hint="eastAsia"/>
        </w:rPr>
        <w:t>　○　介護予防への関心が高く、積極的に色々なことに取り組んでいるかたもいる一方、介護予防への関心が低く、閉じこもり傾向のかたも多い。無関心のかたへの意識啓発が必要であり、ケアマネジャーとしては訪問時に家族などへ声掛けを行っている。</w:t>
      </w:r>
    </w:p>
    <w:p>
      <w:pPr>
        <w:pStyle w:val="0"/>
        <w:ind w:left="480" w:leftChars="100" w:hanging="240" w:hangingChars="100"/>
        <w:jc w:val="both"/>
        <w:rPr>
          <w:rFonts w:hint="default"/>
        </w:rPr>
      </w:pPr>
      <w:r>
        <w:rPr>
          <w:rFonts w:hint="eastAsia"/>
        </w:rPr>
        <w:t>○　介護予防の重要性を周知・啓発し、高齢者の社会参加を推進していく必要がある。</w:t>
      </w:r>
    </w:p>
    <w:p>
      <w:pPr>
        <w:pStyle w:val="0"/>
        <w:ind w:left="480" w:hanging="480" w:hangingChars="200"/>
        <w:jc w:val="both"/>
        <w:rPr>
          <w:rFonts w:hint="default"/>
        </w:rPr>
      </w:pPr>
      <w:r>
        <w:rPr>
          <w:rFonts w:hint="eastAsia"/>
        </w:rPr>
        <w:t>　○　新型コロナウイルス感染拡大防止による自粛生活により、活動性を含め、ＡＤＬ</w:t>
      </w:r>
      <w:r>
        <w:rPr>
          <w:rFonts w:hint="default"/>
        </w:rPr>
        <w:t>が全体的に低下したと感じ</w:t>
      </w:r>
      <w:r>
        <w:rPr>
          <w:rFonts w:hint="eastAsia"/>
        </w:rPr>
        <w:t>る。</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介護保険サービス（介護給付）について</w:t>
      </w:r>
    </w:p>
    <w:p>
      <w:pPr>
        <w:pStyle w:val="0"/>
        <w:ind w:left="480" w:hanging="480" w:hangingChars="200"/>
        <w:jc w:val="both"/>
        <w:rPr>
          <w:rFonts w:hint="default"/>
        </w:rPr>
      </w:pPr>
      <w:r>
        <w:rPr>
          <w:rFonts w:hint="eastAsia"/>
        </w:rPr>
        <w:t>　○　居宅介護支援事業所、地域包括支援センター、主治医、各事業所の間で連携ができている。</w:t>
      </w:r>
    </w:p>
    <w:p>
      <w:pPr>
        <w:pStyle w:val="0"/>
        <w:ind w:left="480" w:hanging="480" w:hangingChars="200"/>
        <w:jc w:val="both"/>
        <w:rPr>
          <w:rFonts w:hint="default"/>
        </w:rPr>
      </w:pPr>
      <w:r>
        <w:rPr>
          <w:rFonts w:hint="eastAsia"/>
        </w:rPr>
        <w:t>　○　新型コロナウイルス感染拡大防止による影響で研修会の参加が困難になっており、いつでもどこでも学べるように、いくつかのテーマで動画配信をしてほしい。</w:t>
      </w:r>
    </w:p>
    <w:p>
      <w:pPr>
        <w:pStyle w:val="0"/>
        <w:ind w:left="480" w:hanging="480" w:hangingChars="20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高齢者の権利擁護について</w:t>
      </w:r>
    </w:p>
    <w:p>
      <w:pPr>
        <w:pStyle w:val="0"/>
        <w:ind w:left="480" w:hanging="480" w:hangingChars="200"/>
        <w:jc w:val="both"/>
        <w:rPr>
          <w:rFonts w:hint="default"/>
        </w:rPr>
      </w:pPr>
      <w:r>
        <w:rPr>
          <w:rFonts w:hint="eastAsia"/>
        </w:rPr>
        <w:t>　○　虐待疑いのチェックポイントを共有化し、主観的な判断だけではなく、疑いの段階で注視できるように、アドバイスや指導がほしい。</w:t>
      </w:r>
    </w:p>
    <w:p>
      <w:pPr>
        <w:pStyle w:val="0"/>
        <w:ind w:left="480" w:hanging="480" w:hangingChars="200"/>
        <w:jc w:val="both"/>
        <w:rPr>
          <w:rFonts w:hint="default"/>
        </w:rPr>
      </w:pPr>
      <w:r>
        <w:rPr>
          <w:rFonts w:hint="eastAsia"/>
        </w:rPr>
        <w:t>　○　支援者の考えかたの違いにより、虐待事案等の発見に遅れが生じることがあり、権利擁護について繰り返し関係者全体で研修を行う必要がある。</w:t>
      </w:r>
    </w:p>
    <w:p>
      <w:pPr>
        <w:pStyle w:val="0"/>
        <w:ind w:left="480" w:hanging="480" w:hangingChars="200"/>
        <w:jc w:val="both"/>
        <w:rPr>
          <w:rFonts w:hint="default"/>
        </w:rPr>
      </w:pPr>
      <w:r>
        <w:rPr>
          <w:rFonts w:hint="eastAsia"/>
        </w:rPr>
        <w:t>　○　消費者被害について、高齢者や地域住民に対して注意喚起をもっと積極的にするべき。</w:t>
      </w: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高齢者の住まいについて</w:t>
      </w:r>
    </w:p>
    <w:p>
      <w:pPr>
        <w:pStyle w:val="0"/>
        <w:ind w:left="480" w:hanging="480" w:hangingChars="200"/>
        <w:jc w:val="both"/>
        <w:rPr>
          <w:rFonts w:hint="default"/>
        </w:rPr>
      </w:pPr>
      <w:r>
        <w:rPr>
          <w:rFonts w:hint="eastAsia"/>
        </w:rPr>
        <w:t>　○　サービス付き高齢者向け住宅は、施設によって独自サービスの質等の格差が大きく、想定外の費用や家族負担が発生することもみられるため、サービス内容について、定期的にケアプランチェック等が必要。</w:t>
      </w:r>
    </w:p>
    <w:p>
      <w:pPr>
        <w:pStyle w:val="0"/>
        <w:ind w:left="480" w:hanging="480" w:hangingChars="200"/>
        <w:jc w:val="both"/>
        <w:rPr>
          <w:rFonts w:hint="default"/>
        </w:rPr>
      </w:pPr>
      <w:r>
        <w:rPr>
          <w:rFonts w:hint="eastAsia"/>
        </w:rPr>
        <w:t>　○　金銭的に余裕がないかたが在宅生活を継続できなくなった際の行き場が少ない。</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高齢者くらしサポート（地域包括支援センター）について</w:t>
      </w:r>
    </w:p>
    <w:p>
      <w:pPr>
        <w:pStyle w:val="0"/>
        <w:ind w:left="480" w:hanging="480" w:hangingChars="200"/>
        <w:jc w:val="both"/>
        <w:rPr>
          <w:rFonts w:hint="default"/>
        </w:rPr>
      </w:pPr>
      <w:r>
        <w:rPr>
          <w:rFonts w:hint="eastAsia"/>
        </w:rPr>
        <w:t>　○　地域包括支援センターと事業所間で必要な連携はとれていると思うが、定期的で比較的気楽な情報交換などコミュニケーションの場を持ち、普段から顔の見える関係性の構築が必要。</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介護予防・日常生活支援総合事業について</w:t>
      </w:r>
    </w:p>
    <w:p>
      <w:pPr>
        <w:pStyle w:val="0"/>
        <w:jc w:val="both"/>
        <w:rPr>
          <w:rFonts w:hint="default"/>
        </w:rPr>
      </w:pPr>
      <w:r>
        <w:rPr>
          <w:rFonts w:hint="eastAsia"/>
        </w:rPr>
        <w:t>　○　ケアプランなどの簡素化をしてほしい。</w:t>
      </w:r>
    </w:p>
    <w:p>
      <w:pPr>
        <w:pStyle w:val="0"/>
        <w:ind w:left="480" w:hanging="480" w:hangingChars="200"/>
        <w:jc w:val="both"/>
        <w:rPr>
          <w:rFonts w:hint="default"/>
        </w:rPr>
      </w:pPr>
      <w:r>
        <w:rPr>
          <w:rFonts w:hint="eastAsia"/>
        </w:rPr>
        <w:t>　○　デイサービス等に関しては、非常に質の高いサービスを提供している事業所が多い中で、サービスの質に比べて報酬が安い。</w:t>
      </w:r>
    </w:p>
    <w:p>
      <w:pPr>
        <w:pStyle w:val="0"/>
        <w:jc w:val="both"/>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介護人材確保及び業務効率化について</w:t>
      </w:r>
    </w:p>
    <w:p>
      <w:pPr>
        <w:pStyle w:val="0"/>
        <w:ind w:left="480" w:hanging="480" w:hangingChars="200"/>
        <w:jc w:val="both"/>
        <w:rPr>
          <w:rFonts w:hint="default"/>
        </w:rPr>
      </w:pPr>
      <w:r>
        <w:rPr>
          <w:rFonts w:hint="eastAsia"/>
        </w:rPr>
        <w:t>　○　どの事業所も人材不足である。求人募集も多く、いつ辞めてもまた働き口があるという考えが多いので、合わない職場はすぐ辞めることが多い。今後は更に深刻化していくと思うが、処遇面が充実すると変わるのではないかと思う。</w:t>
      </w:r>
    </w:p>
    <w:p>
      <w:pPr>
        <w:pStyle w:val="0"/>
        <w:ind w:left="480" w:hanging="480" w:hangingChars="200"/>
        <w:jc w:val="both"/>
        <w:rPr>
          <w:rFonts w:hint="default"/>
        </w:rPr>
      </w:pPr>
      <w:r>
        <w:rPr>
          <w:rFonts w:hint="eastAsia"/>
        </w:rPr>
        <w:t>　○　現場のスタッフは業務終了後に事務処理等が多くあり、業務の分担や効率化が必要だと思う。</w:t>
      </w:r>
    </w:p>
    <w:p>
      <w:pPr>
        <w:pStyle w:val="0"/>
        <w:ind w:left="480" w:hanging="480" w:hangingChars="200"/>
        <w:rPr>
          <w:rFonts w:hint="default"/>
        </w:rPr>
      </w:pPr>
    </w:p>
    <w:p>
      <w:pPr>
        <w:pStyle w:val="0"/>
        <w:ind w:left="480" w:hanging="480" w:hangingChars="200"/>
        <w:rPr>
          <w:rFonts w:hint="default"/>
        </w:rPr>
      </w:pPr>
    </w:p>
    <w:p>
      <w:pPr>
        <w:pStyle w:val="0"/>
        <w:ind w:left="480" w:hanging="480" w:hangingChars="200"/>
        <w:rPr>
          <w:rFonts w:hint="default"/>
        </w:rPr>
      </w:pPr>
    </w:p>
    <w:p>
      <w:pPr>
        <w:pStyle w:val="0"/>
        <w:ind w:left="480" w:hanging="480" w:hangingChars="200"/>
        <w:rPr>
          <w:rFonts w:hint="default"/>
        </w:rPr>
      </w:pPr>
    </w:p>
    <w:p>
      <w:pPr>
        <w:pStyle w:val="0"/>
        <w:ind w:left="480" w:hanging="480" w:hangingChars="200"/>
        <w:rPr>
          <w:rFonts w:hint="default"/>
        </w:rPr>
      </w:pPr>
    </w:p>
    <w:p>
      <w:pPr>
        <w:pStyle w:val="0"/>
        <w:ind w:left="480" w:hanging="480" w:hangingChars="200"/>
        <w:rPr>
          <w:rFonts w:hint="default"/>
        </w:rPr>
      </w:pPr>
      <w:r>
        <w:rPr>
          <w:rFonts w:hint="eastAsia"/>
        </w:rPr>
        <w:br w:type="page"/>
      </w:r>
    </w:p>
    <w:tbl>
      <w:tblPr>
        <w:tblStyle w:val="60"/>
        <w:tblW w:w="9716" w:type="dxa"/>
        <w:tblInd w:w="0" w:type="dxa"/>
        <w:tblLayout w:type="fixed"/>
        <w:tblLook w:firstRow="1" w:lastRow="0" w:firstColumn="1" w:lastColumn="0" w:noHBand="0" w:noVBand="1" w:val="04A0"/>
      </w:tblPr>
      <w:tblGrid>
        <w:gridCol w:w="9716"/>
      </w:tblGrid>
      <w:tr>
        <w:trPr/>
        <w:tc>
          <w:tcPr>
            <w:tcW w:w="971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②</w:t>
            </w:r>
            <w:bookmarkStart w:id="35" w:name="_Hlk49933369"/>
            <w:r>
              <w:rPr>
                <w:rFonts w:hint="eastAsia" w:ascii="ＭＳ ゴシック" w:hAnsi="ＭＳ ゴシック" w:eastAsia="ＭＳ ゴシック"/>
                <w:sz w:val="24"/>
              </w:rPr>
              <w:t>介護保険施設及び居住系サービスを提供する事業者</w:t>
            </w:r>
            <w:bookmarkEnd w:id="35"/>
            <w:r>
              <w:rPr>
                <w:rFonts w:hint="eastAsia" w:ascii="ＭＳ ゴシック" w:hAnsi="ＭＳ ゴシック" w:eastAsia="ＭＳ ゴシック"/>
                <w:sz w:val="24"/>
              </w:rPr>
              <w:t>へのアンケート調査</w:t>
            </w:r>
          </w:p>
          <w:p>
            <w:pPr>
              <w:pStyle w:val="0"/>
              <w:rPr>
                <w:rFonts w:hint="default" w:ascii="ＭＳ 明朝" w:hAnsi="ＭＳ 明朝" w:eastAsia="ＭＳ 明朝"/>
                <w:color w:val="000000" w:themeColor="text1"/>
                <w:sz w:val="24"/>
              </w:rPr>
            </w:pPr>
            <w:r>
              <w:rPr>
                <w:rFonts w:hint="eastAsia" w:ascii="ＭＳ 明朝" w:hAnsi="ＭＳ 明朝" w:eastAsia="ＭＳ 明朝"/>
                <w:sz w:val="24"/>
              </w:rPr>
              <w:t>　□調査期間：令和２</w:t>
            </w:r>
            <w:r>
              <w:rPr>
                <w:rFonts w:hint="default" w:ascii="ＭＳ 明朝" w:hAnsi="ＭＳ 明朝" w:eastAsia="ＭＳ 明朝"/>
                <w:sz w:val="24"/>
              </w:rPr>
              <w:t>年</w:t>
            </w:r>
            <w:r>
              <w:rPr>
                <w:rFonts w:hint="eastAsia" w:ascii="ＭＳ 明朝" w:hAnsi="ＭＳ 明朝" w:eastAsia="ＭＳ 明朝"/>
                <w:sz w:val="24"/>
              </w:rPr>
              <w:t>(2020</w:t>
            </w:r>
            <w:r>
              <w:rPr>
                <w:rFonts w:hint="eastAsia" w:ascii="ＭＳ 明朝" w:hAnsi="ＭＳ 明朝" w:eastAsia="ＭＳ 明朝"/>
                <w:sz w:val="24"/>
              </w:rPr>
              <w:t>年</w:t>
            </w:r>
            <w:r>
              <w:rPr>
                <w:rFonts w:hint="eastAsia" w:ascii="ＭＳ 明朝" w:hAnsi="ＭＳ 明朝" w:eastAsia="ＭＳ 明朝"/>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17</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31</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p>
          <w:p>
            <w:pPr>
              <w:pStyle w:val="0"/>
              <w:rPr>
                <w:rFonts w:hint="default" w:ascii="ＭＳ 明朝" w:hAnsi="ＭＳ 明朝" w:eastAsia="ＭＳ 明朝"/>
                <w:sz w:val="24"/>
              </w:rPr>
            </w:pPr>
            <w:r>
              <w:rPr>
                <w:rFonts w:hint="eastAsia" w:ascii="ＭＳ 明朝" w:hAnsi="ＭＳ 明朝" w:eastAsia="ＭＳ 明朝"/>
                <w:color w:val="000000" w:themeColor="text1"/>
                <w:sz w:val="24"/>
              </w:rPr>
              <w:t>　</w:t>
            </w:r>
            <w:r>
              <w:rPr>
                <w:rFonts w:hint="eastAsia" w:ascii="ＭＳ 明朝" w:hAnsi="ＭＳ 明朝" w:eastAsia="ＭＳ 明朝"/>
                <w:sz w:val="24"/>
              </w:rPr>
              <w:t>□調査対象：【介護保険施設】</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・特別養護老人ホーム　６か所</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・介護老人保健施設　４か所</w:t>
            </w:r>
          </w:p>
          <w:p>
            <w:pPr>
              <w:pStyle w:val="0"/>
              <w:ind w:firstLine="1560" w:firstLineChars="650"/>
              <w:rPr>
                <w:rFonts w:hint="default" w:ascii="ＭＳ 明朝" w:hAnsi="ＭＳ 明朝" w:eastAsia="ＭＳ 明朝"/>
                <w:sz w:val="24"/>
              </w:rPr>
            </w:pPr>
            <w:r>
              <w:rPr>
                <w:rFonts w:hint="eastAsia" w:ascii="ＭＳ 明朝" w:hAnsi="ＭＳ 明朝" w:eastAsia="ＭＳ 明朝"/>
                <w:sz w:val="24"/>
              </w:rPr>
              <w:t>【居住系】</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・特定施設　６か所（介護付有料老人ホーム）</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・認知症対応型共同生活介護　８か所</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・サービス付き高齢者向け住宅　</w:t>
            </w:r>
            <w:r>
              <w:rPr>
                <w:rFonts w:hint="eastAsia" w:ascii="ＭＳ 明朝" w:hAnsi="ＭＳ 明朝" w:eastAsia="ＭＳ 明朝"/>
                <w:sz w:val="24"/>
              </w:rPr>
              <w:t>15</w:t>
            </w:r>
            <w:r>
              <w:rPr>
                <w:rFonts w:hint="eastAsia" w:ascii="ＭＳ 明朝" w:hAnsi="ＭＳ 明朝" w:eastAsia="ＭＳ 明朝"/>
                <w:sz w:val="24"/>
              </w:rPr>
              <w:t>か所</w:t>
            </w:r>
          </w:p>
          <w:p>
            <w:pPr>
              <w:pStyle w:val="0"/>
              <w:ind w:firstLine="1920" w:firstLineChars="800"/>
              <w:rPr>
                <w:rFonts w:hint="default" w:ascii="ＭＳ 明朝" w:hAnsi="ＭＳ 明朝" w:eastAsia="ＭＳ 明朝"/>
                <w:sz w:val="24"/>
              </w:rPr>
            </w:pPr>
            <w:r>
              <w:rPr>
                <w:rFonts w:hint="eastAsia" w:ascii="ＭＳ 明朝" w:hAnsi="ＭＳ 明朝" w:eastAsia="ＭＳ 明朝"/>
                <w:sz w:val="24"/>
              </w:rPr>
              <w:t>・住宅型有料老人ホーム　８か所</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□回収</w:t>
            </w:r>
            <w:r>
              <w:rPr>
                <w:rFonts w:hint="eastAsia" w:ascii="ＭＳ 明朝" w:hAnsi="ＭＳ 明朝" w:eastAsia="ＭＳ 明朝"/>
                <w:color w:val="000000" w:themeColor="text1"/>
                <w:sz w:val="24"/>
              </w:rPr>
              <w:t>状況：</w:t>
            </w:r>
            <w:r>
              <w:rPr>
                <w:rFonts w:hint="eastAsia" w:ascii="ＭＳ 明朝" w:hAnsi="ＭＳ 明朝" w:eastAsia="ＭＳ 明朝"/>
                <w:color w:val="000000" w:themeColor="text1"/>
                <w:sz w:val="24"/>
              </w:rPr>
              <w:t>19</w:t>
            </w:r>
            <w:r>
              <w:rPr>
                <w:rFonts w:hint="eastAsia" w:ascii="ＭＳ 明朝" w:hAnsi="ＭＳ 明朝" w:eastAsia="ＭＳ 明朝"/>
                <w:color w:val="000000" w:themeColor="text1"/>
                <w:sz w:val="24"/>
              </w:rPr>
              <w:t>件</w:t>
            </w:r>
          </w:p>
        </w:tc>
      </w:tr>
    </w:tbl>
    <w:p>
      <w:pPr>
        <w:pStyle w:val="0"/>
        <w:rPr>
          <w:rFonts w:hint="default"/>
        </w:rPr>
      </w:pPr>
    </w:p>
    <w:p>
      <w:pPr>
        <w:pStyle w:val="0"/>
        <w:jc w:val="both"/>
        <w:rPr>
          <w:rFonts w:hint="default"/>
          <w:sz w:val="21"/>
        </w:rPr>
      </w:pPr>
      <w:r>
        <w:rPr>
          <w:rFonts w:hint="eastAsia"/>
          <w:sz w:val="21"/>
        </w:rPr>
        <w:t>※集計結果を見る上での注意事項</w:t>
      </w:r>
    </w:p>
    <w:p>
      <w:pPr>
        <w:pStyle w:val="0"/>
        <w:ind w:firstLine="210" w:firstLineChars="100"/>
        <w:jc w:val="both"/>
        <w:rPr>
          <w:rFonts w:hint="default"/>
          <w:sz w:val="21"/>
        </w:rPr>
      </w:pPr>
      <w:r>
        <w:rPr>
          <w:rFonts w:hint="eastAsia"/>
          <w:sz w:val="21"/>
        </w:rPr>
        <w:t>○　図表中の「ｎ</w:t>
      </w:r>
      <w:r>
        <w:rPr>
          <w:rFonts w:hint="default"/>
          <w:sz w:val="21"/>
        </w:rPr>
        <w:t>（</w:t>
      </w:r>
      <w:r>
        <w:rPr>
          <w:rFonts w:hint="default"/>
          <w:sz w:val="21"/>
        </w:rPr>
        <w:t>number of case</w:t>
      </w:r>
      <w:r>
        <w:rPr>
          <w:rFonts w:hint="default"/>
          <w:sz w:val="21"/>
        </w:rPr>
        <w:t>）」は、有効標本数（集計対象者総数）を表しています。</w:t>
      </w:r>
    </w:p>
    <w:p>
      <w:pPr>
        <w:pStyle w:val="0"/>
        <w:ind w:left="450" w:leftChars="100" w:hanging="210" w:hangingChars="100"/>
        <w:jc w:val="both"/>
        <w:rPr>
          <w:rFonts w:hint="default"/>
          <w:sz w:val="21"/>
        </w:rPr>
      </w:pPr>
      <w:r>
        <w:rPr>
          <w:rFonts w:hint="eastAsia"/>
          <w:sz w:val="21"/>
        </w:rPr>
        <w:t>○　回答結果の割合「％」は有効サンプル数に対して、それぞれの回答数の割合を小数点以下第２位で四捨五入したものです。そのため、単数回答であっても合計値が</w:t>
      </w:r>
      <w:r>
        <w:rPr>
          <w:rFonts w:hint="default"/>
          <w:sz w:val="21"/>
        </w:rPr>
        <w:t>100.0</w:t>
      </w:r>
      <w:r>
        <w:rPr>
          <w:rFonts w:hint="default"/>
          <w:sz w:val="21"/>
        </w:rPr>
        <w:t>％にならない場合があります。</w:t>
      </w:r>
    </w:p>
    <w:p>
      <w:pPr>
        <w:pStyle w:val="0"/>
        <w:ind w:left="450" w:leftChars="100" w:hanging="210" w:hangingChars="100"/>
        <w:jc w:val="both"/>
        <w:rPr>
          <w:rFonts w:hint="default"/>
          <w:sz w:val="21"/>
        </w:rPr>
      </w:pPr>
      <w:r>
        <w:rPr>
          <w:rFonts w:hint="eastAsia"/>
          <w:sz w:val="21"/>
        </w:rPr>
        <w:t>○　複数回答の設問の場合、回答は選択肢ごとの有効回答数に対して、それぞれの割合を示しています。そのため、合計が</w:t>
      </w:r>
      <w:r>
        <w:rPr>
          <w:rFonts w:hint="default"/>
          <w:sz w:val="21"/>
        </w:rPr>
        <w:t>100.0</w:t>
      </w:r>
      <w:r>
        <w:rPr>
          <w:rFonts w:hint="default"/>
          <w:sz w:val="21"/>
        </w:rPr>
        <w:t>％を超える場合があります。</w:t>
      </w:r>
    </w:p>
    <w:p>
      <w:pPr>
        <w:pStyle w:val="0"/>
        <w:ind w:left="450" w:leftChars="100" w:hanging="210" w:hangingChars="100"/>
        <w:jc w:val="both"/>
        <w:rPr>
          <w:rFonts w:hint="default"/>
          <w:sz w:val="21"/>
        </w:rPr>
      </w:pPr>
      <w:r>
        <w:rPr>
          <w:rFonts w:hint="eastAsia"/>
          <w:sz w:val="21"/>
        </w:rPr>
        <w:t>○　図表中において「無回答」とあるものは、回答が示されていない、または回答の判別が著しく困難なものです。</w:t>
      </w:r>
    </w:p>
    <w:p>
      <w:pPr>
        <w:pStyle w:val="0"/>
        <w:jc w:val="both"/>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空き状況について</w:t>
      </w:r>
    </w:p>
    <w:p>
      <w:pPr>
        <w:pStyle w:val="0"/>
        <w:jc w:val="both"/>
        <w:rPr>
          <w:rFonts w:hint="default"/>
        </w:rPr>
      </w:pPr>
      <w:r>
        <w:rPr>
          <w:rFonts w:hint="eastAsia"/>
        </w:rPr>
        <w:t>　空き状況については、全体では「時期によって、空きが出たり、満床になったりしている」が</w:t>
      </w:r>
      <w:r>
        <w:rPr>
          <w:rFonts w:hint="eastAsia"/>
        </w:rPr>
        <w:t>52.6</w:t>
      </w:r>
      <w:r>
        <w:rPr>
          <w:rFonts w:hint="eastAsia"/>
        </w:rPr>
        <w:t>％で最も多く、介護保険施設で</w:t>
      </w:r>
      <w:r>
        <w:rPr>
          <w:rFonts w:hint="eastAsia"/>
        </w:rPr>
        <w:t>50.0</w:t>
      </w:r>
      <w:r>
        <w:rPr>
          <w:rFonts w:hint="eastAsia"/>
        </w:rPr>
        <w:t>％、居宅系サービスで</w:t>
      </w:r>
      <w:r>
        <w:rPr>
          <w:rFonts w:hint="eastAsia"/>
        </w:rPr>
        <w:t>53.8</w:t>
      </w:r>
      <w:r>
        <w:rPr>
          <w:rFonts w:hint="eastAsia"/>
        </w:rPr>
        <w:t>％となっています。</w:t>
      </w:r>
    </w:p>
    <w:p>
      <w:pPr>
        <w:pStyle w:val="0"/>
        <w:jc w:val="both"/>
        <w:rPr>
          <w:rFonts w:hint="default"/>
        </w:rPr>
      </w:pPr>
      <w:r>
        <w:rPr>
          <w:rFonts w:hint="eastAsia"/>
        </w:rPr>
        <w:t>　また、「恒常的に満床が続いている」では、全体で</w:t>
      </w:r>
      <w:r>
        <w:rPr>
          <w:rFonts w:hint="eastAsia"/>
        </w:rPr>
        <w:t>36.8</w:t>
      </w:r>
      <w:r>
        <w:rPr>
          <w:rFonts w:hint="eastAsia"/>
        </w:rPr>
        <w:t>％となっています。</w:t>
      </w:r>
    </w:p>
    <w:p>
      <w:pPr>
        <w:pStyle w:val="0"/>
        <w:rPr>
          <w:rFonts w:hint="default"/>
        </w:rPr>
      </w:pPr>
    </w:p>
    <w:p>
      <w:pPr>
        <w:pStyle w:val="0"/>
        <w:jc w:val="center"/>
        <w:rPr>
          <w:rFonts w:hint="default" w:ascii="ＭＳ ゴシック" w:hAnsi="ＭＳ ゴシック" w:eastAsia="ＭＳ ゴシック"/>
          <w:sz w:val="21"/>
        </w:rPr>
      </w:pPr>
      <w:r>
        <w:rPr>
          <w:rFonts w:hint="default"/>
        </w:rPr>
        <w:drawing>
          <wp:anchor distT="0" distB="0" distL="114300" distR="114300" simplePos="0" relativeHeight="45" behindDoc="1" locked="0" layoutInCell="1" hidden="0" allowOverlap="1">
            <wp:simplePos x="0" y="0"/>
            <wp:positionH relativeFrom="column">
              <wp:posOffset>277495</wp:posOffset>
            </wp:positionH>
            <wp:positionV relativeFrom="paragraph">
              <wp:posOffset>200660</wp:posOffset>
            </wp:positionV>
            <wp:extent cx="5505450" cy="2371725"/>
            <wp:effectExtent l="0" t="0" r="0" b="0"/>
            <wp:wrapNone/>
            <wp:docPr id="1081" name="Picture 13"/>
            <a:graphic xmlns:a="http://schemas.openxmlformats.org/drawingml/2006/main">
              <a:graphicData uri="http://schemas.openxmlformats.org/drawingml/2006/picture">
                <pic:pic xmlns:pic="http://schemas.openxmlformats.org/drawingml/2006/picture">
                  <pic:nvPicPr>
                    <pic:cNvPr id="1081" name="Picture 13"/>
                    <pic:cNvPicPr>
                      <a:picLocks noChangeAspect="1" noChangeArrowheads="1"/>
                    </pic:cNvPicPr>
                  </pic:nvPicPr>
                  <pic:blipFill>
                    <a:blip r:embed="rId53"/>
                    <a:srcRect b="45752"/>
                    <a:stretch>
                      <a:fillRect/>
                    </a:stretch>
                  </pic:blipFill>
                  <pic:spPr>
                    <a:xfrm>
                      <a:off x="0" y="0"/>
                      <a:ext cx="5505450" cy="2371725"/>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4</w:t>
      </w:r>
      <w:r>
        <w:rPr>
          <w:rFonts w:hint="eastAsia" w:ascii="ＭＳ ゴシック" w:hAnsi="ＭＳ ゴシック" w:eastAsia="ＭＳ ゴシック"/>
          <w:sz w:val="21"/>
        </w:rPr>
        <w:t>：空き状況</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入所者及び入居者の年齢区分・要介護度・寝たきり度・認知症自立度について</w:t>
      </w:r>
    </w:p>
    <w:p>
      <w:pPr>
        <w:pStyle w:val="0"/>
        <w:jc w:val="both"/>
        <w:rPr>
          <w:rFonts w:hint="default"/>
        </w:rPr>
      </w:pPr>
      <w:r>
        <w:rPr>
          <w:rFonts w:hint="eastAsia"/>
        </w:rPr>
        <w:t>　入所者及び入居者の年齢区分については、全体では「</w:t>
      </w:r>
      <w:r>
        <w:rPr>
          <w:rFonts w:hint="eastAsia"/>
        </w:rPr>
        <w:t>85</w:t>
      </w:r>
      <w:r>
        <w:rPr>
          <w:rFonts w:hint="eastAsia"/>
        </w:rPr>
        <w:t>～</w:t>
      </w:r>
      <w:r>
        <w:rPr>
          <w:rFonts w:hint="eastAsia"/>
        </w:rPr>
        <w:t>89</w:t>
      </w:r>
      <w:r>
        <w:rPr>
          <w:rFonts w:hint="eastAsia"/>
        </w:rPr>
        <w:t>歳」が</w:t>
      </w:r>
      <w:r>
        <w:rPr>
          <w:rFonts w:hint="eastAsia"/>
        </w:rPr>
        <w:t>303</w:t>
      </w:r>
      <w:r>
        <w:rPr>
          <w:rFonts w:hint="eastAsia"/>
        </w:rPr>
        <w:t>人で最も多く、次いで「</w:t>
      </w:r>
      <w:r>
        <w:rPr>
          <w:rFonts w:hint="eastAsia"/>
        </w:rPr>
        <w:t>90</w:t>
      </w:r>
      <w:r>
        <w:rPr>
          <w:rFonts w:hint="eastAsia"/>
        </w:rPr>
        <w:t>～</w:t>
      </w:r>
      <w:r>
        <w:rPr>
          <w:rFonts w:hint="eastAsia"/>
        </w:rPr>
        <w:t>94</w:t>
      </w:r>
      <w:r>
        <w:rPr>
          <w:rFonts w:hint="eastAsia"/>
        </w:rPr>
        <w:t>歳」が</w:t>
      </w:r>
      <w:r>
        <w:rPr>
          <w:rFonts w:hint="eastAsia"/>
        </w:rPr>
        <w:t>294</w:t>
      </w:r>
      <w:r>
        <w:rPr>
          <w:rFonts w:hint="eastAsia"/>
        </w:rPr>
        <w:t>人、「</w:t>
      </w:r>
      <w:r>
        <w:rPr>
          <w:rFonts w:hint="eastAsia"/>
        </w:rPr>
        <w:t>80</w:t>
      </w:r>
      <w:r>
        <w:rPr>
          <w:rFonts w:hint="eastAsia"/>
        </w:rPr>
        <w:t>～</w:t>
      </w:r>
      <w:r>
        <w:rPr>
          <w:rFonts w:hint="eastAsia"/>
        </w:rPr>
        <w:t>84</w:t>
      </w:r>
      <w:r>
        <w:rPr>
          <w:rFonts w:hint="eastAsia"/>
        </w:rPr>
        <w:t>歳」が</w:t>
      </w:r>
      <w:r>
        <w:rPr>
          <w:rFonts w:hint="eastAsia"/>
        </w:rPr>
        <w:t>175</w:t>
      </w:r>
      <w:r>
        <w:rPr>
          <w:rFonts w:hint="eastAsia"/>
        </w:rPr>
        <w:t>人となっています。</w:t>
      </w:r>
    </w:p>
    <w:p>
      <w:pPr>
        <w:pStyle w:val="0"/>
        <w:rPr>
          <w:rFonts w:hint="default"/>
        </w:rPr>
      </w:pPr>
    </w:p>
    <w:p>
      <w:pPr>
        <w:pStyle w:val="0"/>
        <w:ind w:right="-458" w:rightChars="-191" w:firstLine="3360" w:firstLineChars="1600"/>
        <w:rPr>
          <w:rFonts w:hint="default" w:ascii="ＭＳ ゴシック" w:hAnsi="ＭＳ ゴシック" w:eastAsia="ＭＳ ゴシック"/>
          <w:sz w:val="16"/>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5</w:t>
      </w:r>
      <w:r>
        <w:rPr>
          <w:rFonts w:hint="eastAsia" w:ascii="ＭＳ ゴシック" w:hAnsi="ＭＳ ゴシック" w:eastAsia="ＭＳ ゴシック"/>
          <w:sz w:val="21"/>
        </w:rPr>
        <w:t>：入所者及び入居者の年齢区分　　　　　　　　　</w:t>
      </w:r>
      <w:r>
        <w:rPr>
          <w:rFonts w:hint="eastAsia" w:ascii="ＭＳ ゴシック" w:hAnsi="ＭＳ ゴシック" w:eastAsia="ＭＳ ゴシック"/>
          <w:sz w:val="16"/>
        </w:rPr>
        <w:t>（単位：人）</w:t>
      </w:r>
    </w:p>
    <w:tbl>
      <w:tblPr>
        <w:tblStyle w:val="59"/>
        <w:tblW w:w="9840" w:type="dxa"/>
        <w:tblInd w:w="0" w:type="dxa"/>
        <w:tblLayout w:type="fixed"/>
        <w:tblLook w:firstRow="1" w:lastRow="0" w:firstColumn="1" w:lastColumn="0" w:noHBand="0" w:noVBand="1" w:val="04A0"/>
      </w:tblPr>
      <w:tblGrid>
        <w:gridCol w:w="988"/>
        <w:gridCol w:w="2126"/>
        <w:gridCol w:w="772"/>
        <w:gridCol w:w="654"/>
        <w:gridCol w:w="656"/>
        <w:gridCol w:w="656"/>
        <w:gridCol w:w="656"/>
        <w:gridCol w:w="663"/>
        <w:gridCol w:w="663"/>
        <w:gridCol w:w="663"/>
        <w:gridCol w:w="663"/>
        <w:gridCol w:w="680"/>
      </w:tblGrid>
      <w:tr>
        <w:trPr/>
        <w:tc>
          <w:tcPr>
            <w:tcW w:w="3886" w:type="dxa"/>
            <w:gridSpan w:val="3"/>
            <w:shd w:val="clear" w:color="auto" w:themeFill="accent5" w:themeFillTint="33" w:themeFillShade="FF"/>
            <w:vAlign w:val="top"/>
          </w:tcPr>
          <w:p>
            <w:pPr>
              <w:pStyle w:val="0"/>
              <w:jc w:val="center"/>
              <w:rPr>
                <w:rFonts w:hint="default" w:ascii="ＭＳ ゴシック" w:hAnsi="ＭＳ ゴシック" w:eastAsia="ＭＳ ゴシック"/>
                <w:sz w:val="14"/>
              </w:rPr>
            </w:pPr>
          </w:p>
        </w:tc>
        <w:tc>
          <w:tcPr>
            <w:tcW w:w="654"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65</w:t>
            </w:r>
            <w:r>
              <w:rPr>
                <w:rFonts w:hint="eastAsia" w:ascii="ＭＳ ゴシック" w:hAnsi="ＭＳ ゴシック" w:eastAsia="ＭＳ ゴシック"/>
                <w:sz w:val="15"/>
              </w:rPr>
              <w:t>歳</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未満</w:t>
            </w:r>
          </w:p>
        </w:tc>
        <w:tc>
          <w:tcPr>
            <w:tcW w:w="656"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65</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69</w:t>
            </w:r>
            <w:r>
              <w:rPr>
                <w:rFonts w:hint="eastAsia" w:ascii="ＭＳ ゴシック" w:hAnsi="ＭＳ ゴシック" w:eastAsia="ＭＳ ゴシック"/>
                <w:sz w:val="15"/>
              </w:rPr>
              <w:t>歳</w:t>
            </w:r>
          </w:p>
        </w:tc>
        <w:tc>
          <w:tcPr>
            <w:tcW w:w="656"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70</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74</w:t>
            </w:r>
            <w:r>
              <w:rPr>
                <w:rFonts w:hint="eastAsia" w:ascii="ＭＳ ゴシック" w:hAnsi="ＭＳ ゴシック" w:eastAsia="ＭＳ ゴシック"/>
                <w:sz w:val="15"/>
              </w:rPr>
              <w:t>歳</w:t>
            </w:r>
          </w:p>
        </w:tc>
        <w:tc>
          <w:tcPr>
            <w:tcW w:w="656"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75</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79</w:t>
            </w:r>
            <w:r>
              <w:rPr>
                <w:rFonts w:hint="eastAsia" w:ascii="ＭＳ ゴシック" w:hAnsi="ＭＳ ゴシック" w:eastAsia="ＭＳ ゴシック"/>
                <w:sz w:val="15"/>
              </w:rPr>
              <w:t>歳</w:t>
            </w:r>
          </w:p>
        </w:tc>
        <w:tc>
          <w:tcPr>
            <w:tcW w:w="663"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80</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84</w:t>
            </w:r>
            <w:r>
              <w:rPr>
                <w:rFonts w:hint="eastAsia" w:ascii="ＭＳ ゴシック" w:hAnsi="ＭＳ ゴシック" w:eastAsia="ＭＳ ゴシック"/>
                <w:sz w:val="15"/>
              </w:rPr>
              <w:t>歳</w:t>
            </w:r>
          </w:p>
        </w:tc>
        <w:tc>
          <w:tcPr>
            <w:tcW w:w="663"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85</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89</w:t>
            </w:r>
            <w:r>
              <w:rPr>
                <w:rFonts w:hint="eastAsia" w:ascii="ＭＳ ゴシック" w:hAnsi="ＭＳ ゴシック" w:eastAsia="ＭＳ ゴシック"/>
                <w:sz w:val="15"/>
              </w:rPr>
              <w:t>歳</w:t>
            </w:r>
          </w:p>
        </w:tc>
        <w:tc>
          <w:tcPr>
            <w:tcW w:w="663" w:type="dxa"/>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90</w:t>
            </w:r>
            <w:r>
              <w:rPr>
                <w:rFonts w:hint="eastAsia" w:ascii="ＭＳ ゴシック" w:hAnsi="ＭＳ ゴシック" w:eastAsia="ＭＳ ゴシック"/>
                <w:sz w:val="15"/>
              </w:rPr>
              <w:t>～</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94</w:t>
            </w:r>
            <w:r>
              <w:rPr>
                <w:rFonts w:hint="eastAsia" w:ascii="ＭＳ ゴシック" w:hAnsi="ＭＳ ゴシック" w:eastAsia="ＭＳ ゴシック"/>
                <w:sz w:val="15"/>
              </w:rPr>
              <w:t>歳</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themeFill="accent5" w:themeFillTint="33" w:themeFillShade="FF"/>
            <w:vAlign w:val="center"/>
          </w:tcPr>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95</w:t>
            </w:r>
            <w:r>
              <w:rPr>
                <w:rFonts w:hint="eastAsia" w:ascii="ＭＳ ゴシック" w:hAnsi="ＭＳ ゴシック" w:eastAsia="ＭＳ ゴシック"/>
                <w:sz w:val="15"/>
              </w:rPr>
              <w:t>歳</w:t>
            </w:r>
          </w:p>
          <w:p>
            <w:pPr>
              <w:pStyle w:val="0"/>
              <w:spacing w:line="200" w:lineRule="exact"/>
              <w:jc w:val="both"/>
              <w:rPr>
                <w:rFonts w:hint="default" w:ascii="ＭＳ ゴシック" w:hAnsi="ＭＳ ゴシック" w:eastAsia="ＭＳ ゴシック"/>
                <w:sz w:val="15"/>
              </w:rPr>
            </w:pPr>
            <w:r>
              <w:rPr>
                <w:rFonts w:hint="eastAsia" w:ascii="ＭＳ ゴシック" w:hAnsi="ＭＳ ゴシック" w:eastAsia="ＭＳ ゴシック"/>
                <w:sz w:val="15"/>
              </w:rPr>
              <w:t>以上</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5"/>
              </w:rPr>
            </w:pPr>
            <w:r>
              <w:rPr>
                <w:rFonts w:hint="eastAsia" w:ascii="ＭＳ ゴシック" w:hAnsi="ＭＳ ゴシック" w:eastAsia="ＭＳ ゴシック"/>
                <w:sz w:val="15"/>
              </w:rPr>
              <w:t>合計</w:t>
            </w:r>
          </w:p>
        </w:tc>
      </w:tr>
      <w:tr>
        <w:trPr/>
        <w:tc>
          <w:tcPr>
            <w:tcW w:w="988" w:type="dxa"/>
            <w:vMerge w:val="restart"/>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介護保険</w:t>
            </w:r>
          </w:p>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施設</w:t>
            </w:r>
          </w:p>
        </w:tc>
        <w:tc>
          <w:tcPr>
            <w:tcW w:w="2898" w:type="dxa"/>
            <w:gridSpan w:val="2"/>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入所</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6</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3</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18</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01</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1</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25</w:t>
            </w:r>
          </w:p>
        </w:tc>
      </w:tr>
      <w:tr>
        <w:trPr/>
        <w:tc>
          <w:tcPr>
            <w:tcW w:w="988"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898" w:type="dxa"/>
            <w:gridSpan w:val="2"/>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短期入所</w:t>
            </w:r>
          </w:p>
        </w:tc>
        <w:tc>
          <w:tcPr>
            <w:tcW w:w="6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w:t>
            </w:r>
          </w:p>
        </w:tc>
        <w:tc>
          <w:tcPr>
            <w:tcW w:w="663"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80"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9</w:t>
            </w:r>
          </w:p>
        </w:tc>
      </w:tr>
      <w:tr>
        <w:trPr/>
        <w:tc>
          <w:tcPr>
            <w:tcW w:w="3886" w:type="dxa"/>
            <w:gridSpan w:val="3"/>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　合計</w:t>
            </w:r>
          </w:p>
        </w:tc>
        <w:tc>
          <w:tcPr>
            <w:tcW w:w="654"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5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65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9</w:t>
            </w:r>
          </w:p>
        </w:tc>
        <w:tc>
          <w:tcPr>
            <w:tcW w:w="65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9</w:t>
            </w:r>
          </w:p>
        </w:tc>
        <w:tc>
          <w:tcPr>
            <w:tcW w:w="66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1</w:t>
            </w:r>
          </w:p>
        </w:tc>
        <w:tc>
          <w:tcPr>
            <w:tcW w:w="66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26</w:t>
            </w:r>
          </w:p>
        </w:tc>
        <w:tc>
          <w:tcPr>
            <w:tcW w:w="66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12</w:t>
            </w:r>
          </w:p>
        </w:tc>
        <w:tc>
          <w:tcPr>
            <w:tcW w:w="663" w:type="dxa"/>
            <w:tcBorders>
              <w:top w:val="double" w:color="auto" w:sz="4"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6</w:t>
            </w:r>
          </w:p>
        </w:tc>
        <w:tc>
          <w:tcPr>
            <w:tcW w:w="680"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64</w:t>
            </w:r>
          </w:p>
        </w:tc>
      </w:tr>
      <w:tr>
        <w:trPr/>
        <w:tc>
          <w:tcPr>
            <w:tcW w:w="988"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居住系</w:t>
            </w:r>
          </w:p>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w:t>
            </w:r>
          </w:p>
        </w:tc>
        <w:tc>
          <w:tcPr>
            <w:tcW w:w="2126"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特定施設</w:t>
            </w:r>
          </w:p>
        </w:tc>
        <w:tc>
          <w:tcPr>
            <w:tcW w:w="772"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自立</w:t>
            </w:r>
          </w:p>
        </w:tc>
        <w:tc>
          <w:tcPr>
            <w:tcW w:w="65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2</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4</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3</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6</w:t>
            </w:r>
          </w:p>
        </w:tc>
        <w:tc>
          <w:tcPr>
            <w:tcW w:w="663"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80"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74</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要支援</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4</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7</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要介護</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3</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39</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898" w:type="dxa"/>
            <w:gridSpan w:val="2"/>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認知症対応型共同生活介護</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restart"/>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住宅型有料老人ホーム</w:t>
            </w: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自立</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要支援</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要介護</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1</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5</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3</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50</w:t>
            </w:r>
          </w:p>
        </w:tc>
      </w:tr>
      <w:tr>
        <w:trPr/>
        <w:tc>
          <w:tcPr>
            <w:tcW w:w="988"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126" w:type="dxa"/>
            <w:vMerge w:val="restart"/>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サービス付き</w:t>
            </w:r>
          </w:p>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高齢者向け住宅</w:t>
            </w: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自立</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r>
      <w:tr>
        <w:trPr/>
        <w:tc>
          <w:tcPr>
            <w:tcW w:w="988" w:type="dxa"/>
            <w:vMerge w:val="continue"/>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126" w:type="dxa"/>
            <w:vMerge w:val="continue"/>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77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要支援</w:t>
            </w:r>
          </w:p>
        </w:tc>
        <w:tc>
          <w:tcPr>
            <w:tcW w:w="65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63"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80"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r>
      <w:tr>
        <w:trPr/>
        <w:tc>
          <w:tcPr>
            <w:tcW w:w="988"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default"/>
              </w:rPr>
            </w:pPr>
          </w:p>
        </w:tc>
        <w:tc>
          <w:tcPr>
            <w:tcW w:w="2126"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rPr>
                <w:rFonts w:hint="default"/>
              </w:rPr>
            </w:pPr>
          </w:p>
        </w:tc>
        <w:tc>
          <w:tcPr>
            <w:tcW w:w="77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要介護</w:t>
            </w:r>
          </w:p>
        </w:tc>
        <w:tc>
          <w:tcPr>
            <w:tcW w:w="6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663"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680"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8</w:t>
            </w:r>
          </w:p>
        </w:tc>
      </w:tr>
      <w:tr>
        <w:trPr/>
        <w:tc>
          <w:tcPr>
            <w:tcW w:w="3886" w:type="dxa"/>
            <w:gridSpan w:val="3"/>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居住系サービス　合計</w:t>
            </w:r>
          </w:p>
        </w:tc>
        <w:tc>
          <w:tcPr>
            <w:tcW w:w="65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65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1</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5</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r>
              <w:rPr>
                <w:rFonts w:hint="default" w:ascii="ＭＳ 明朝" w:hAnsi="ＭＳ 明朝" w:eastAsia="ＭＳ 明朝"/>
                <w:sz w:val="16"/>
              </w:rPr>
              <w:t>9</w:t>
            </w:r>
          </w:p>
        </w:tc>
        <w:tc>
          <w:tcPr>
            <w:tcW w:w="66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20</w:t>
            </w:r>
          </w:p>
        </w:tc>
        <w:tc>
          <w:tcPr>
            <w:tcW w:w="663"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1</w:t>
            </w:r>
          </w:p>
        </w:tc>
        <w:tc>
          <w:tcPr>
            <w:tcW w:w="680"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98</w:t>
            </w:r>
          </w:p>
        </w:tc>
      </w:tr>
      <w:tr>
        <w:trPr/>
        <w:tc>
          <w:tcPr>
            <w:tcW w:w="3886" w:type="dxa"/>
            <w:gridSpan w:val="3"/>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介護保険施設＋居住系サービス　総合計</w:t>
            </w:r>
          </w:p>
        </w:tc>
        <w:tc>
          <w:tcPr>
            <w:tcW w:w="65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3</w:t>
            </w:r>
          </w:p>
        </w:tc>
        <w:tc>
          <w:tcPr>
            <w:tcW w:w="65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5</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75</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03</w:t>
            </w:r>
          </w:p>
        </w:tc>
        <w:tc>
          <w:tcPr>
            <w:tcW w:w="66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94</w:t>
            </w:r>
          </w:p>
        </w:tc>
        <w:tc>
          <w:tcPr>
            <w:tcW w:w="663"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53</w:t>
            </w:r>
          </w:p>
        </w:tc>
        <w:tc>
          <w:tcPr>
            <w:tcW w:w="680"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,062</w:t>
            </w:r>
          </w:p>
        </w:tc>
      </w:tr>
    </w:tbl>
    <w:p>
      <w:pPr>
        <w:pStyle w:val="0"/>
        <w:jc w:val="both"/>
        <w:rPr>
          <w:rFonts w:hint="default"/>
        </w:rPr>
      </w:pPr>
      <w:r>
        <w:rPr>
          <w:rFonts w:hint="eastAsia"/>
        </w:rPr>
        <w:t>　</w:t>
      </w:r>
    </w:p>
    <w:p>
      <w:pPr>
        <w:pStyle w:val="0"/>
        <w:jc w:val="both"/>
        <w:rPr>
          <w:rFonts w:hint="default"/>
        </w:rPr>
      </w:pPr>
    </w:p>
    <w:p>
      <w:pPr>
        <w:pStyle w:val="0"/>
        <w:ind w:firstLine="240" w:firstLineChars="100"/>
        <w:jc w:val="both"/>
        <w:rPr>
          <w:rFonts w:hint="default"/>
        </w:rPr>
      </w:pPr>
      <w:r>
        <w:rPr>
          <w:rFonts w:hint="eastAsia"/>
        </w:rPr>
        <w:t>入所者及び入居者の要介護度については、全体では「要介護４」が</w:t>
      </w:r>
      <w:r>
        <w:rPr>
          <w:rFonts w:hint="eastAsia"/>
        </w:rPr>
        <w:t>212</w:t>
      </w:r>
      <w:r>
        <w:rPr>
          <w:rFonts w:hint="eastAsia"/>
        </w:rPr>
        <w:t>人で最も多く、次いで「要介護３」が</w:t>
      </w:r>
      <w:r>
        <w:rPr>
          <w:rFonts w:hint="eastAsia"/>
        </w:rPr>
        <w:t>184</w:t>
      </w:r>
      <w:r>
        <w:rPr>
          <w:rFonts w:hint="eastAsia"/>
        </w:rPr>
        <w:t>人、「要介護５」が</w:t>
      </w:r>
      <w:r>
        <w:rPr>
          <w:rFonts w:hint="eastAsia"/>
        </w:rPr>
        <w:t>161</w:t>
      </w:r>
      <w:r>
        <w:rPr>
          <w:rFonts w:hint="eastAsia"/>
        </w:rPr>
        <w:t>人となっています。</w:t>
      </w:r>
    </w:p>
    <w:p>
      <w:pPr>
        <w:pStyle w:val="0"/>
        <w:jc w:val="both"/>
        <w:rPr>
          <w:rFonts w:hint="default"/>
        </w:rPr>
      </w:pPr>
      <w:r>
        <w:rPr>
          <w:rFonts w:hint="eastAsia"/>
        </w:rPr>
        <w:t>　また、医療処置が必要な人をみると、全体では「要介護５」が</w:t>
      </w:r>
      <w:r>
        <w:rPr>
          <w:rFonts w:hint="eastAsia"/>
        </w:rPr>
        <w:t>26.7</w:t>
      </w:r>
      <w:r>
        <w:rPr>
          <w:rFonts w:hint="eastAsia"/>
        </w:rPr>
        <w:t>％（</w:t>
      </w:r>
      <w:r>
        <w:rPr>
          <w:rFonts w:hint="eastAsia"/>
        </w:rPr>
        <w:t>43</w:t>
      </w:r>
      <w:r>
        <w:rPr>
          <w:rFonts w:hint="eastAsia"/>
        </w:rPr>
        <w:t>人）で最も高くなっています。</w:t>
      </w:r>
    </w:p>
    <w:p>
      <w:pPr>
        <w:pStyle w:val="0"/>
        <w:rPr>
          <w:rFonts w:hint="default"/>
        </w:rPr>
      </w:pPr>
    </w:p>
    <w:p>
      <w:pPr>
        <w:pStyle w:val="0"/>
        <w:ind w:right="-458" w:rightChars="-191" w:firstLine="3570" w:firstLineChars="1700"/>
        <w:rPr>
          <w:rFonts w:hint="default" w:ascii="ＭＳ ゴシック" w:hAnsi="ＭＳ ゴシック" w:eastAsia="ＭＳ ゴシック"/>
          <w:sz w:val="16"/>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6</w:t>
      </w:r>
      <w:r>
        <w:rPr>
          <w:rFonts w:hint="eastAsia" w:ascii="ＭＳ ゴシック" w:hAnsi="ＭＳ ゴシック" w:eastAsia="ＭＳ ゴシック"/>
          <w:sz w:val="21"/>
        </w:rPr>
        <w:t>：入所者及び入居者の要介護度　　　　　　　　</w:t>
      </w:r>
      <w:r>
        <w:rPr>
          <w:rFonts w:hint="eastAsia" w:ascii="ＭＳ ゴシック" w:hAnsi="ＭＳ ゴシック" w:eastAsia="ＭＳ ゴシック"/>
          <w:sz w:val="16"/>
        </w:rPr>
        <w:t>（単位：人）</w:t>
      </w:r>
    </w:p>
    <w:tbl>
      <w:tblPr>
        <w:tblStyle w:val="59"/>
        <w:tblW w:w="9776" w:type="dxa"/>
        <w:tblInd w:w="0" w:type="dxa"/>
        <w:tblLayout w:type="fixed"/>
        <w:tblLook w:firstRow="1" w:lastRow="0" w:firstColumn="1" w:lastColumn="0" w:noHBand="0" w:noVBand="1" w:val="04A0"/>
      </w:tblPr>
      <w:tblGrid>
        <w:gridCol w:w="503"/>
        <w:gridCol w:w="343"/>
        <w:gridCol w:w="2738"/>
        <w:gridCol w:w="773"/>
        <w:gridCol w:w="777"/>
        <w:gridCol w:w="773"/>
        <w:gridCol w:w="774"/>
        <w:gridCol w:w="774"/>
        <w:gridCol w:w="773"/>
        <w:gridCol w:w="774"/>
        <w:gridCol w:w="774"/>
      </w:tblGrid>
      <w:tr>
        <w:trPr/>
        <w:tc>
          <w:tcPr>
            <w:tcW w:w="3584" w:type="dxa"/>
            <w:gridSpan w:val="3"/>
            <w:shd w:val="clear" w:color="auto" w:themeFill="accent5" w:themeFillTint="33" w:themeFillShade="FF"/>
            <w:vAlign w:val="top"/>
          </w:tcPr>
          <w:p>
            <w:pPr>
              <w:pStyle w:val="0"/>
              <w:jc w:val="center"/>
              <w:rPr>
                <w:rFonts w:hint="default" w:ascii="ＭＳ ゴシック" w:hAnsi="ＭＳ ゴシック" w:eastAsia="ＭＳ ゴシック"/>
                <w:sz w:val="14"/>
              </w:rPr>
            </w:pPr>
          </w:p>
        </w:tc>
        <w:tc>
          <w:tcPr>
            <w:tcW w:w="773"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自立</w:t>
            </w:r>
          </w:p>
        </w:tc>
        <w:tc>
          <w:tcPr>
            <w:tcW w:w="777"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要支援</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１・２</w:t>
            </w:r>
          </w:p>
        </w:tc>
        <w:tc>
          <w:tcPr>
            <w:tcW w:w="773"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要介護</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１</w:t>
            </w:r>
          </w:p>
        </w:tc>
        <w:tc>
          <w:tcPr>
            <w:tcW w:w="774"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要介護</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２</w:t>
            </w:r>
          </w:p>
        </w:tc>
        <w:tc>
          <w:tcPr>
            <w:tcW w:w="774"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要介護</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３</w:t>
            </w:r>
          </w:p>
        </w:tc>
        <w:tc>
          <w:tcPr>
            <w:tcW w:w="773"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要介護</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４</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要介護</w:t>
            </w:r>
          </w:p>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５</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6"/>
              </w:rPr>
              <w:t>合計</w:t>
            </w:r>
          </w:p>
        </w:tc>
      </w:tr>
      <w:tr>
        <w:trPr/>
        <w:tc>
          <w:tcPr>
            <w:tcW w:w="503" w:type="dxa"/>
            <w:vMerge w:val="restart"/>
            <w:shd w:val="clear" w:color="auto" w:themeFill="accent5" w:themeFillTint="33" w:themeFillShade="FF"/>
            <w:textDirection w:val="tbRlV"/>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6"/>
              </w:rPr>
              <w:t>介護保険施設</w:t>
            </w:r>
          </w:p>
        </w:tc>
        <w:tc>
          <w:tcPr>
            <w:tcW w:w="3081"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入所</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8</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04</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26</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12</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25</w:t>
            </w:r>
          </w:p>
        </w:tc>
      </w:tr>
      <w:tr>
        <w:trPr/>
        <w:tc>
          <w:tcPr>
            <w:tcW w:w="503" w:type="dxa"/>
            <w:vMerge w:val="continue"/>
            <w:shd w:val="clear" w:color="auto" w:themeFill="accent5" w:themeFillTint="33" w:themeFillShade="FF"/>
            <w:textDirection w:val="tbRlV"/>
            <w:vAlign w:val="center"/>
          </w:tcPr>
          <w:p>
            <w:pPr>
              <w:pStyle w:val="0"/>
              <w:spacing w:line="280" w:lineRule="exact"/>
              <w:ind w:left="113" w:right="113"/>
              <w:jc w:val="center"/>
              <w:rPr>
                <w:rFonts w:hint="default" w:ascii="ＭＳ ゴシック" w:hAnsi="ＭＳ ゴシック" w:eastAsia="ＭＳ ゴシック"/>
                <w:sz w:val="18"/>
              </w:rPr>
            </w:pPr>
          </w:p>
        </w:tc>
        <w:tc>
          <w:tcPr>
            <w:tcW w:w="343"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ind w:right="-209" w:rightChars="-87"/>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4</w:t>
            </w:r>
          </w:p>
        </w:tc>
      </w:tr>
      <w:tr>
        <w:trPr/>
        <w:tc>
          <w:tcPr>
            <w:tcW w:w="503" w:type="dxa"/>
            <w:vMerge w:val="continue"/>
            <w:shd w:val="clear" w:color="auto" w:themeFill="accent5" w:themeFillTint="33" w:themeFillShade="FF"/>
            <w:textDirection w:val="tbRlV"/>
            <w:vAlign w:val="center"/>
          </w:tcPr>
          <w:p>
            <w:pPr>
              <w:pStyle w:val="0"/>
              <w:spacing w:line="280" w:lineRule="exact"/>
              <w:ind w:left="113" w:right="113"/>
              <w:jc w:val="center"/>
              <w:rPr>
                <w:rFonts w:hint="default" w:ascii="ＭＳ ゴシック" w:hAnsi="ＭＳ ゴシック" w:eastAsia="ＭＳ ゴシック"/>
                <w:sz w:val="18"/>
              </w:rPr>
            </w:pPr>
          </w:p>
        </w:tc>
        <w:tc>
          <w:tcPr>
            <w:tcW w:w="3081"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短期入所</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9</w:t>
            </w:r>
          </w:p>
        </w:tc>
      </w:tr>
      <w:tr>
        <w:trPr/>
        <w:tc>
          <w:tcPr>
            <w:tcW w:w="503"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80" w:lineRule="exact"/>
              <w:ind w:left="113" w:right="113"/>
              <w:jc w:val="center"/>
              <w:rPr>
                <w:rFonts w:hint="default" w:ascii="ＭＳ ゴシック" w:hAnsi="ＭＳ ゴシック" w:eastAsia="ＭＳ ゴシック"/>
                <w:sz w:val="18"/>
              </w:rPr>
            </w:pPr>
          </w:p>
        </w:tc>
        <w:tc>
          <w:tcPr>
            <w:tcW w:w="343" w:type="dxa"/>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r>
      <w:tr>
        <w:trPr/>
        <w:tc>
          <w:tcPr>
            <w:tcW w:w="3584" w:type="dxa"/>
            <w:gridSpan w:val="3"/>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6"/>
              </w:rPr>
            </w:pPr>
            <w:r>
              <w:rPr>
                <w:rFonts w:hint="eastAsia" w:ascii="ＭＳ ゴシック" w:hAnsi="ＭＳ ゴシック" w:eastAsia="ＭＳ ゴシック"/>
                <w:sz w:val="18"/>
              </w:rPr>
              <w:t>介護保険施設　合計</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8</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7</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16</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40</w:t>
            </w:r>
          </w:p>
        </w:tc>
        <w:tc>
          <w:tcPr>
            <w:tcW w:w="774"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13</w:t>
            </w:r>
          </w:p>
        </w:tc>
        <w:tc>
          <w:tcPr>
            <w:tcW w:w="774"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64</w:t>
            </w:r>
          </w:p>
        </w:tc>
      </w:tr>
      <w:tr>
        <w:trPr/>
        <w:tc>
          <w:tcPr>
            <w:tcW w:w="846" w:type="dxa"/>
            <w:gridSpan w:val="2"/>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80" w:lineRule="exact"/>
              <w:rPr>
                <w:rFonts w:hint="default" w:ascii="ＭＳ ゴシック" w:hAnsi="ＭＳ ゴシック" w:eastAsia="ＭＳ ゴシック"/>
                <w:sz w:val="18"/>
              </w:rPr>
            </w:pPr>
          </w:p>
        </w:tc>
        <w:tc>
          <w:tcPr>
            <w:tcW w:w="273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6"/>
              </w:rPr>
            </w:pPr>
            <w:r>
              <w:rPr>
                <w:rFonts w:hint="eastAsia" w:ascii="ＭＳ ゴシック" w:hAnsi="ＭＳ ゴシック" w:eastAsia="ＭＳ ゴシック"/>
                <w:sz w:val="16"/>
              </w:rPr>
              <w:t>うち医療処置が必要な人</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7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74"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c>
          <w:tcPr>
            <w:tcW w:w="774"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5</w:t>
            </w:r>
          </w:p>
        </w:tc>
      </w:tr>
      <w:tr>
        <w:trPr/>
        <w:tc>
          <w:tcPr>
            <w:tcW w:w="503"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8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居住系サービス</w:t>
            </w:r>
          </w:p>
        </w:tc>
        <w:tc>
          <w:tcPr>
            <w:tcW w:w="3081" w:type="dxa"/>
            <w:gridSpan w:val="2"/>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特定施設</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74</w:t>
            </w:r>
          </w:p>
        </w:tc>
        <w:tc>
          <w:tcPr>
            <w:tcW w:w="77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7</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0</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9</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6</w:t>
            </w:r>
          </w:p>
        </w:tc>
        <w:tc>
          <w:tcPr>
            <w:tcW w:w="774"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6</w:t>
            </w:r>
          </w:p>
        </w:tc>
        <w:tc>
          <w:tcPr>
            <w:tcW w:w="774"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70</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43"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ind w:right="-209" w:rightChars="-87"/>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0</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081"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認知症対応型共同生活介護</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43"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081"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住宅型有料老人ホーム</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4</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1</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7</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6</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55</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43"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ind w:right="-209" w:rightChars="-87"/>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r>
      <w:tr>
        <w:trPr/>
        <w:tc>
          <w:tcPr>
            <w:tcW w:w="503"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081"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サービス付き高齢者向け住宅</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r>
      <w:tr>
        <w:trPr/>
        <w:tc>
          <w:tcPr>
            <w:tcW w:w="503"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343" w:type="dxa"/>
            <w:tcBorders>
              <w:top w:val="nil"/>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p>
        </w:tc>
        <w:tc>
          <w:tcPr>
            <w:tcW w:w="273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74"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r>
      <w:tr>
        <w:trPr/>
        <w:tc>
          <w:tcPr>
            <w:tcW w:w="3584" w:type="dxa"/>
            <w:gridSpan w:val="3"/>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居住系サービス　合計</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74</w:t>
            </w:r>
          </w:p>
        </w:tc>
        <w:tc>
          <w:tcPr>
            <w:tcW w:w="77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2</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9</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4</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8</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2</w:t>
            </w:r>
          </w:p>
        </w:tc>
        <w:tc>
          <w:tcPr>
            <w:tcW w:w="774"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8</w:t>
            </w:r>
          </w:p>
        </w:tc>
        <w:tc>
          <w:tcPr>
            <w:tcW w:w="774"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77</w:t>
            </w:r>
          </w:p>
        </w:tc>
      </w:tr>
      <w:tr>
        <w:trPr/>
        <w:tc>
          <w:tcPr>
            <w:tcW w:w="846" w:type="dxa"/>
            <w:gridSpan w:val="2"/>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ind w:right="-209" w:rightChars="-87"/>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6</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7</w:t>
            </w:r>
          </w:p>
        </w:tc>
      </w:tr>
      <w:tr>
        <w:trPr/>
        <w:tc>
          <w:tcPr>
            <w:tcW w:w="3584" w:type="dxa"/>
            <w:gridSpan w:val="3"/>
            <w:tcBorders>
              <w:top w:val="double" w:color="auto" w:sz="4" w:space="0"/>
              <w:left w:val="none" w:color="auto" w:sz="0" w:space="0"/>
              <w:bottom w:val="nil"/>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介護保険施設＋居宅系サービス　総合計</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74</w:t>
            </w:r>
          </w:p>
        </w:tc>
        <w:tc>
          <w:tcPr>
            <w:tcW w:w="77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2</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07</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41</w:t>
            </w:r>
          </w:p>
        </w:tc>
        <w:tc>
          <w:tcPr>
            <w:tcW w:w="77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84</w:t>
            </w:r>
          </w:p>
        </w:tc>
        <w:tc>
          <w:tcPr>
            <w:tcW w:w="77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12</w:t>
            </w:r>
          </w:p>
        </w:tc>
        <w:tc>
          <w:tcPr>
            <w:tcW w:w="774"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61</w:t>
            </w:r>
          </w:p>
        </w:tc>
        <w:tc>
          <w:tcPr>
            <w:tcW w:w="774"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,041</w:t>
            </w:r>
          </w:p>
        </w:tc>
      </w:tr>
      <w:tr>
        <w:trPr/>
        <w:tc>
          <w:tcPr>
            <w:tcW w:w="846" w:type="dxa"/>
            <w:gridSpan w:val="2"/>
            <w:tcBorders>
              <w:top w:val="nil"/>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80" w:lineRule="exact"/>
              <w:rPr>
                <w:rFonts w:hint="default" w:ascii="ＭＳ ゴシック" w:hAnsi="ＭＳ ゴシック" w:eastAsia="ＭＳ ゴシック"/>
                <w:sz w:val="18"/>
              </w:rPr>
            </w:pPr>
          </w:p>
        </w:tc>
        <w:tc>
          <w:tcPr>
            <w:tcW w:w="2738" w:type="dxa"/>
            <w:shd w:val="clear" w:color="auto" w:themeFill="accent5" w:themeFillTint="33" w:themeFillShade="FF"/>
            <w:vAlign w:val="top"/>
          </w:tcPr>
          <w:p>
            <w:pPr>
              <w:pStyle w:val="0"/>
              <w:spacing w:line="280" w:lineRule="exact"/>
              <w:ind w:right="-209" w:rightChars="-87"/>
              <w:rPr>
                <w:rFonts w:hint="default" w:ascii="ＭＳ ゴシック" w:hAnsi="ＭＳ ゴシック" w:eastAsia="ＭＳ ゴシック"/>
                <w:sz w:val="18"/>
              </w:rPr>
            </w:pPr>
            <w:r>
              <w:rPr>
                <w:rFonts w:hint="eastAsia" w:ascii="ＭＳ ゴシック" w:hAnsi="ＭＳ ゴシック" w:eastAsia="ＭＳ ゴシック"/>
                <w:sz w:val="16"/>
              </w:rPr>
              <w:t>うち医療処置が必要な人</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7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774"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w:t>
            </w:r>
          </w:p>
        </w:tc>
        <w:tc>
          <w:tcPr>
            <w:tcW w:w="77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3</w:t>
            </w:r>
          </w:p>
        </w:tc>
        <w:tc>
          <w:tcPr>
            <w:tcW w:w="774"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3</w:t>
            </w:r>
          </w:p>
        </w:tc>
        <w:tc>
          <w:tcPr>
            <w:tcW w:w="77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22</w:t>
            </w:r>
          </w:p>
        </w:tc>
      </w:tr>
    </w:tbl>
    <w:p>
      <w:pPr>
        <w:pStyle w:val="0"/>
        <w:rPr>
          <w:rFonts w:hint="default"/>
        </w:rPr>
      </w:pPr>
    </w:p>
    <w:p>
      <w:pPr>
        <w:pStyle w:val="0"/>
        <w:rPr>
          <w:rFonts w:hint="default"/>
        </w:rPr>
      </w:pPr>
    </w:p>
    <w:p>
      <w:pPr>
        <w:pStyle w:val="0"/>
        <w:jc w:val="both"/>
        <w:rPr>
          <w:rFonts w:hint="default"/>
        </w:rPr>
      </w:pPr>
      <w:r>
        <w:rPr>
          <w:rFonts w:hint="eastAsia"/>
        </w:rPr>
        <w:t>　入所者及び入居者の寝たきり度については、全体で「Ｂ」が</w:t>
      </w:r>
      <w:r>
        <w:rPr>
          <w:rFonts w:hint="eastAsia"/>
        </w:rPr>
        <w:t>334</w:t>
      </w:r>
      <w:r>
        <w:rPr>
          <w:rFonts w:hint="eastAsia"/>
        </w:rPr>
        <w:t>人で最も多く、次いで「Ａ」が</w:t>
      </w:r>
      <w:r>
        <w:rPr>
          <w:rFonts w:hint="eastAsia"/>
        </w:rPr>
        <w:t>310</w:t>
      </w:r>
      <w:r>
        <w:rPr>
          <w:rFonts w:hint="eastAsia"/>
        </w:rPr>
        <w:t>人、「Ｃ」が</w:t>
      </w:r>
      <w:r>
        <w:rPr>
          <w:rFonts w:hint="eastAsia"/>
        </w:rPr>
        <w:t>120</w:t>
      </w:r>
      <w:r>
        <w:rPr>
          <w:rFonts w:hint="eastAsia"/>
        </w:rPr>
        <w:t>人となっています。</w:t>
      </w:r>
    </w:p>
    <w:p>
      <w:pPr>
        <w:pStyle w:val="0"/>
        <w:rPr>
          <w:rFonts w:hint="default"/>
        </w:rPr>
      </w:pPr>
    </w:p>
    <w:p>
      <w:pPr>
        <w:pStyle w:val="0"/>
        <w:ind w:right="-458" w:rightChars="-191" w:firstLine="2835" w:firstLineChars="1350"/>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7</w:t>
      </w:r>
      <w:r>
        <w:rPr>
          <w:rFonts w:hint="eastAsia" w:ascii="ＭＳ ゴシック" w:hAnsi="ＭＳ ゴシック" w:eastAsia="ＭＳ ゴシック"/>
          <w:sz w:val="21"/>
        </w:rPr>
        <w:t>：入所者及び入居者の寝たきり度</w:t>
      </w:r>
      <w:r>
        <w:rPr>
          <w:rFonts w:hint="eastAsia" w:ascii="ＭＳ ゴシック" w:hAnsi="ＭＳ ゴシック" w:eastAsia="ＭＳ ゴシック"/>
          <w:sz w:val="21"/>
        </w:rPr>
        <w:t xml:space="preserve"> </w:t>
      </w:r>
      <w:r>
        <w:rPr>
          <w:rFonts w:hint="default" w:ascii="ＭＳ ゴシック" w:hAnsi="ＭＳ ゴシック" w:eastAsia="ＭＳ ゴシック"/>
          <w:sz w:val="21"/>
        </w:rPr>
        <w:t xml:space="preserve">                    </w:t>
      </w:r>
      <w:r>
        <w:rPr>
          <w:rFonts w:hint="eastAsia" w:ascii="ＭＳ ゴシック" w:hAnsi="ＭＳ ゴシック" w:eastAsia="ＭＳ ゴシック"/>
          <w:sz w:val="16"/>
        </w:rPr>
        <w:t>（単位：人）</w:t>
      </w:r>
    </w:p>
    <w:tbl>
      <w:tblPr>
        <w:tblStyle w:val="59"/>
        <w:tblpPr w:leftFromText="142" w:rightFromText="142" w:topFromText="0" w:bottomFromText="0" w:vertAnchor="text" w:horzAnchor="text" w:tblpXSpec="left" w:tblpY="1"/>
        <w:tblOverlap w:val="never"/>
        <w:tblW w:w="9776" w:type="dxa"/>
        <w:tblLayout w:type="fixed"/>
        <w:tblLook w:firstRow="1" w:lastRow="0" w:firstColumn="1" w:lastColumn="0" w:noHBand="0" w:noVBand="1" w:val="04A0"/>
      </w:tblPr>
      <w:tblGrid>
        <w:gridCol w:w="1537"/>
        <w:gridCol w:w="2657"/>
        <w:gridCol w:w="797"/>
        <w:gridCol w:w="797"/>
        <w:gridCol w:w="798"/>
        <w:gridCol w:w="797"/>
        <w:gridCol w:w="798"/>
        <w:gridCol w:w="797"/>
        <w:gridCol w:w="798"/>
      </w:tblGrid>
      <w:tr>
        <w:trPr/>
        <w:tc>
          <w:tcPr>
            <w:tcW w:w="4194" w:type="dxa"/>
            <w:gridSpan w:val="2"/>
            <w:shd w:val="clear" w:color="auto" w:themeFill="accent5" w:themeFillTint="33" w:themeFillShade="FF"/>
            <w:vAlign w:val="top"/>
          </w:tcPr>
          <w:p>
            <w:pPr>
              <w:pStyle w:val="0"/>
              <w:jc w:val="center"/>
              <w:rPr>
                <w:rFonts w:hint="default" w:ascii="ＭＳ ゴシック" w:hAnsi="ＭＳ ゴシック" w:eastAsia="ＭＳ ゴシック"/>
                <w:sz w:val="14"/>
              </w:rPr>
            </w:pPr>
          </w:p>
        </w:tc>
        <w:tc>
          <w:tcPr>
            <w:tcW w:w="797"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自立</w:t>
            </w:r>
          </w:p>
        </w:tc>
        <w:tc>
          <w:tcPr>
            <w:tcW w:w="797"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Ｊ</w:t>
            </w:r>
          </w:p>
        </w:tc>
        <w:tc>
          <w:tcPr>
            <w:tcW w:w="798"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Ａ</w:t>
            </w:r>
          </w:p>
        </w:tc>
        <w:tc>
          <w:tcPr>
            <w:tcW w:w="797"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Ｂ</w:t>
            </w:r>
          </w:p>
        </w:tc>
        <w:tc>
          <w:tcPr>
            <w:tcW w:w="798"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Ｃ</w:t>
            </w:r>
          </w:p>
        </w:tc>
        <w:tc>
          <w:tcPr>
            <w:tcW w:w="797"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不明</w:t>
            </w:r>
          </w:p>
        </w:tc>
        <w:tc>
          <w:tcPr>
            <w:tcW w:w="798"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合計</w:t>
            </w:r>
          </w:p>
        </w:tc>
      </w:tr>
      <w:tr>
        <w:trPr/>
        <w:tc>
          <w:tcPr>
            <w:tcW w:w="1537" w:type="dxa"/>
            <w:vMerge w:val="restart"/>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介護保険施設</w:t>
            </w:r>
          </w:p>
        </w:tc>
        <w:tc>
          <w:tcPr>
            <w:tcW w:w="2657" w:type="dxa"/>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入所</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9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19</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26</w:t>
            </w:r>
          </w:p>
        </w:tc>
        <w:tc>
          <w:tcPr>
            <w:tcW w:w="798"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1</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98"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25</w:t>
            </w:r>
          </w:p>
        </w:tc>
      </w:tr>
      <w:tr>
        <w:trPr/>
        <w:tc>
          <w:tcPr>
            <w:tcW w:w="1537"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5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短期入所</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79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w:t>
            </w:r>
          </w:p>
        </w:tc>
        <w:tc>
          <w:tcPr>
            <w:tcW w:w="79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98"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8</w:t>
            </w:r>
          </w:p>
        </w:tc>
      </w:tr>
      <w:tr>
        <w:trPr/>
        <w:tc>
          <w:tcPr>
            <w:tcW w:w="4194" w:type="dxa"/>
            <w:gridSpan w:val="2"/>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　合計</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798"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36</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37</w:t>
            </w:r>
          </w:p>
        </w:tc>
        <w:tc>
          <w:tcPr>
            <w:tcW w:w="798"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1</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798"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63</w:t>
            </w:r>
          </w:p>
        </w:tc>
      </w:tr>
      <w:tr>
        <w:trPr/>
        <w:tc>
          <w:tcPr>
            <w:tcW w:w="1537"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居住系サービス</w:t>
            </w:r>
          </w:p>
        </w:tc>
        <w:tc>
          <w:tcPr>
            <w:tcW w:w="2657"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特定施設</w:t>
            </w:r>
          </w:p>
        </w:tc>
        <w:tc>
          <w:tcPr>
            <w:tcW w:w="79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8</w:t>
            </w:r>
          </w:p>
        </w:tc>
        <w:tc>
          <w:tcPr>
            <w:tcW w:w="79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9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4</w:t>
            </w:r>
          </w:p>
        </w:tc>
        <w:tc>
          <w:tcPr>
            <w:tcW w:w="79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c>
          <w:tcPr>
            <w:tcW w:w="79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1</w:t>
            </w:r>
          </w:p>
        </w:tc>
        <w:tc>
          <w:tcPr>
            <w:tcW w:w="79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98"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75</w:t>
            </w:r>
          </w:p>
        </w:tc>
      </w:tr>
      <w:tr>
        <w:trPr/>
        <w:tc>
          <w:tcPr>
            <w:tcW w:w="1537"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57"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認知症対応型共同生活介護</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98"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98"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r>
      <w:tr>
        <w:trPr/>
        <w:tc>
          <w:tcPr>
            <w:tcW w:w="1537"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57"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住宅型有料老人ホーム</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9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2</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w:t>
            </w:r>
          </w:p>
        </w:tc>
        <w:tc>
          <w:tcPr>
            <w:tcW w:w="798"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4</w:t>
            </w:r>
          </w:p>
        </w:tc>
        <w:tc>
          <w:tcPr>
            <w:tcW w:w="797"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98"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55</w:t>
            </w:r>
          </w:p>
        </w:tc>
      </w:tr>
      <w:tr>
        <w:trPr/>
        <w:tc>
          <w:tcPr>
            <w:tcW w:w="1537"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5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サービス付き高齢者向け住宅</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9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9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98"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r>
      <w:tr>
        <w:trPr/>
        <w:tc>
          <w:tcPr>
            <w:tcW w:w="4194" w:type="dxa"/>
            <w:gridSpan w:val="2"/>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居住系サービス　合計</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9</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3</w:t>
            </w:r>
          </w:p>
        </w:tc>
        <w:tc>
          <w:tcPr>
            <w:tcW w:w="798"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74</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r>
              <w:rPr>
                <w:rFonts w:hint="default" w:ascii="ＭＳ 明朝" w:hAnsi="ＭＳ 明朝" w:eastAsia="ＭＳ 明朝"/>
                <w:sz w:val="16"/>
              </w:rPr>
              <w:t>7</w:t>
            </w:r>
          </w:p>
        </w:tc>
        <w:tc>
          <w:tcPr>
            <w:tcW w:w="798"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9</w:t>
            </w:r>
          </w:p>
        </w:tc>
        <w:tc>
          <w:tcPr>
            <w:tcW w:w="79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98"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82</w:t>
            </w:r>
          </w:p>
        </w:tc>
      </w:tr>
      <w:tr>
        <w:trPr/>
        <w:tc>
          <w:tcPr>
            <w:tcW w:w="4194"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介護保険施設＋居住系サービス　総合計</w:t>
            </w:r>
          </w:p>
        </w:tc>
        <w:tc>
          <w:tcPr>
            <w:tcW w:w="797"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0</w:t>
            </w:r>
          </w:p>
        </w:tc>
        <w:tc>
          <w:tcPr>
            <w:tcW w:w="797"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1</w:t>
            </w:r>
          </w:p>
        </w:tc>
        <w:tc>
          <w:tcPr>
            <w:tcW w:w="798"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10</w:t>
            </w:r>
          </w:p>
        </w:tc>
        <w:tc>
          <w:tcPr>
            <w:tcW w:w="797"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34</w:t>
            </w:r>
          </w:p>
        </w:tc>
        <w:tc>
          <w:tcPr>
            <w:tcW w:w="798"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20</w:t>
            </w:r>
          </w:p>
        </w:tc>
        <w:tc>
          <w:tcPr>
            <w:tcW w:w="797"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798" w:type="dxa"/>
            <w:tcBorders>
              <w:top w:val="double" w:color="auto" w:sz="4" w:space="0"/>
              <w:left w:val="double" w:color="auto" w:sz="4"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45</w:t>
            </w:r>
          </w:p>
        </w:tc>
      </w:tr>
    </w:tbl>
    <w:p>
      <w:pPr>
        <w:pStyle w:val="0"/>
        <w:rPr>
          <w:rFonts w:hint="default"/>
        </w:rPr>
      </w:pPr>
    </w:p>
    <w:p>
      <w:pPr>
        <w:pStyle w:val="0"/>
        <w:rPr>
          <w:rFonts w:hint="default"/>
        </w:rPr>
      </w:pPr>
    </w:p>
    <w:p>
      <w:pPr>
        <w:pStyle w:val="0"/>
        <w:jc w:val="both"/>
        <w:rPr>
          <w:rFonts w:hint="default"/>
        </w:rPr>
      </w:pPr>
      <w:r>
        <w:rPr>
          <w:rFonts w:hint="eastAsia"/>
        </w:rPr>
        <w:t>　入所者及び入居者の認知症自立度については、全体で「Ⅲ」が</w:t>
      </w:r>
      <w:r>
        <w:rPr>
          <w:rFonts w:hint="eastAsia"/>
        </w:rPr>
        <w:t>316</w:t>
      </w:r>
      <w:r>
        <w:rPr>
          <w:rFonts w:hint="eastAsia"/>
        </w:rPr>
        <w:t>人で最も多く、次いで「Ⅱ」が</w:t>
      </w:r>
      <w:r>
        <w:rPr>
          <w:rFonts w:hint="eastAsia"/>
        </w:rPr>
        <w:t>278</w:t>
      </w:r>
      <w:r>
        <w:rPr>
          <w:rFonts w:hint="eastAsia"/>
        </w:rPr>
        <w:t>人、「Ⅳ」が</w:t>
      </w:r>
      <w:r>
        <w:rPr>
          <w:rFonts w:hint="eastAsia"/>
        </w:rPr>
        <w:t>120</w:t>
      </w:r>
      <w:r>
        <w:rPr>
          <w:rFonts w:hint="eastAsia"/>
        </w:rPr>
        <w:t>人となっています。</w:t>
      </w:r>
    </w:p>
    <w:p>
      <w:pPr>
        <w:pStyle w:val="0"/>
        <w:rPr>
          <w:rFonts w:hint="default"/>
        </w:rPr>
      </w:pPr>
    </w:p>
    <w:p>
      <w:pPr>
        <w:pStyle w:val="0"/>
        <w:ind w:right="-1025" w:rightChars="-427" w:firstLine="2730" w:firstLineChars="1300"/>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8</w:t>
      </w:r>
      <w:r>
        <w:rPr>
          <w:rFonts w:hint="eastAsia" w:ascii="ＭＳ ゴシック" w:hAnsi="ＭＳ ゴシック" w:eastAsia="ＭＳ ゴシック"/>
          <w:sz w:val="21"/>
        </w:rPr>
        <w:t>：入所者及び入居者の認知症自立度　　　　　　　　　　</w:t>
      </w:r>
      <w:r>
        <w:rPr>
          <w:rFonts w:hint="eastAsia" w:ascii="ＭＳ ゴシック" w:hAnsi="ＭＳ ゴシック" w:eastAsia="ＭＳ ゴシック"/>
          <w:sz w:val="16"/>
        </w:rPr>
        <w:t>（単位：人）</w:t>
      </w:r>
    </w:p>
    <w:tbl>
      <w:tblPr>
        <w:tblStyle w:val="59"/>
        <w:tblpPr w:leftFromText="142" w:rightFromText="142" w:topFromText="0" w:bottomFromText="0" w:vertAnchor="text" w:horzAnchor="text" w:tblpXSpec="left" w:tblpY="1"/>
        <w:tblOverlap w:val="never"/>
        <w:tblW w:w="9776" w:type="dxa"/>
        <w:tblLayout w:type="fixed"/>
        <w:tblLook w:firstRow="1" w:lastRow="0" w:firstColumn="1" w:lastColumn="0" w:noHBand="0" w:noVBand="1" w:val="04A0"/>
      </w:tblPr>
      <w:tblGrid>
        <w:gridCol w:w="1525"/>
        <w:gridCol w:w="2632"/>
        <w:gridCol w:w="702"/>
        <w:gridCol w:w="702"/>
        <w:gridCol w:w="703"/>
        <w:gridCol w:w="702"/>
        <w:gridCol w:w="702"/>
        <w:gridCol w:w="703"/>
        <w:gridCol w:w="702"/>
        <w:gridCol w:w="703"/>
      </w:tblGrid>
      <w:tr>
        <w:trPr/>
        <w:tc>
          <w:tcPr>
            <w:tcW w:w="4157" w:type="dxa"/>
            <w:gridSpan w:val="2"/>
            <w:shd w:val="clear" w:color="auto" w:themeFill="accent5" w:themeFillTint="33" w:themeFillShade="FF"/>
            <w:vAlign w:val="top"/>
          </w:tcPr>
          <w:p>
            <w:pPr>
              <w:pStyle w:val="0"/>
              <w:jc w:val="center"/>
              <w:rPr>
                <w:rFonts w:hint="default" w:ascii="ＭＳ ゴシック" w:hAnsi="ＭＳ ゴシック" w:eastAsia="ＭＳ ゴシック"/>
                <w:sz w:val="14"/>
              </w:rPr>
            </w:pPr>
          </w:p>
        </w:tc>
        <w:tc>
          <w:tcPr>
            <w:tcW w:w="702"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自立</w:t>
            </w:r>
          </w:p>
        </w:tc>
        <w:tc>
          <w:tcPr>
            <w:tcW w:w="702"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Ⅰ</w:t>
            </w:r>
          </w:p>
        </w:tc>
        <w:tc>
          <w:tcPr>
            <w:tcW w:w="703"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Ⅱ</w:t>
            </w:r>
          </w:p>
        </w:tc>
        <w:tc>
          <w:tcPr>
            <w:tcW w:w="702"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Ⅲ</w:t>
            </w:r>
          </w:p>
        </w:tc>
        <w:tc>
          <w:tcPr>
            <w:tcW w:w="702"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Ⅳ</w:t>
            </w:r>
          </w:p>
        </w:tc>
        <w:tc>
          <w:tcPr>
            <w:tcW w:w="703"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Ⅴ</w:t>
            </w:r>
          </w:p>
        </w:tc>
        <w:tc>
          <w:tcPr>
            <w:tcW w:w="702" w:type="dxa"/>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不明</w:t>
            </w:r>
          </w:p>
        </w:tc>
        <w:tc>
          <w:tcPr>
            <w:tcW w:w="703"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0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合計</w:t>
            </w:r>
          </w:p>
        </w:tc>
      </w:tr>
      <w:tr>
        <w:trPr/>
        <w:tc>
          <w:tcPr>
            <w:tcW w:w="1525" w:type="dxa"/>
            <w:vMerge w:val="restart"/>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介護保険施設</w:t>
            </w:r>
          </w:p>
        </w:tc>
        <w:tc>
          <w:tcPr>
            <w:tcW w:w="2632" w:type="dxa"/>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入所</w:t>
            </w:r>
          </w:p>
        </w:tc>
        <w:tc>
          <w:tcPr>
            <w:tcW w:w="702" w:type="dxa"/>
            <w:vAlign w:val="center"/>
          </w:tcPr>
          <w:p>
            <w:pPr>
              <w:pStyle w:val="0"/>
              <w:spacing w:line="280" w:lineRule="exact"/>
              <w:jc w:val="right"/>
              <w:rPr>
                <w:rFonts w:hint="default" w:ascii="ＭＳ 明朝" w:hAnsi="ＭＳ 明朝" w:eastAsia="ＭＳ 明朝"/>
                <w:sz w:val="16"/>
              </w:rPr>
            </w:pPr>
            <w:r>
              <w:rPr>
                <w:rFonts w:hint="default" w:ascii="ＭＳ 明朝" w:hAnsi="ＭＳ 明朝" w:eastAsia="ＭＳ 明朝"/>
                <w:sz w:val="16"/>
              </w:rPr>
              <w:t>15</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5</w:t>
            </w:r>
          </w:p>
        </w:tc>
        <w:tc>
          <w:tcPr>
            <w:tcW w:w="70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18</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82</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8</w:t>
            </w:r>
          </w:p>
        </w:tc>
        <w:tc>
          <w:tcPr>
            <w:tcW w:w="703"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703"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25</w:t>
            </w:r>
          </w:p>
        </w:tc>
      </w:tr>
      <w:tr>
        <w:trPr/>
        <w:tc>
          <w:tcPr>
            <w:tcW w:w="1525"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3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短期入所</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70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1</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0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703"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9</w:t>
            </w:r>
          </w:p>
        </w:tc>
      </w:tr>
      <w:tr>
        <w:trPr/>
        <w:tc>
          <w:tcPr>
            <w:tcW w:w="4157" w:type="dxa"/>
            <w:gridSpan w:val="2"/>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　合計</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8</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1</w:t>
            </w:r>
          </w:p>
        </w:tc>
        <w:tc>
          <w:tcPr>
            <w:tcW w:w="70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31</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93</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1</w:t>
            </w:r>
          </w:p>
        </w:tc>
        <w:tc>
          <w:tcPr>
            <w:tcW w:w="70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3"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64</w:t>
            </w:r>
          </w:p>
        </w:tc>
      </w:tr>
      <w:tr>
        <w:trPr/>
        <w:tc>
          <w:tcPr>
            <w:tcW w:w="1525"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居住系サービス</w:t>
            </w:r>
          </w:p>
        </w:tc>
        <w:tc>
          <w:tcPr>
            <w:tcW w:w="2632"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特定施設</w:t>
            </w:r>
          </w:p>
        </w:tc>
        <w:tc>
          <w:tcPr>
            <w:tcW w:w="7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2</w:t>
            </w:r>
          </w:p>
        </w:tc>
        <w:tc>
          <w:tcPr>
            <w:tcW w:w="7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8</w:t>
            </w:r>
          </w:p>
        </w:tc>
        <w:tc>
          <w:tcPr>
            <w:tcW w:w="70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0</w:t>
            </w:r>
          </w:p>
        </w:tc>
        <w:tc>
          <w:tcPr>
            <w:tcW w:w="7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3</w:t>
            </w:r>
          </w:p>
        </w:tc>
        <w:tc>
          <w:tcPr>
            <w:tcW w:w="7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70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03"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27</w:t>
            </w:r>
          </w:p>
        </w:tc>
      </w:tr>
      <w:tr>
        <w:trPr/>
        <w:tc>
          <w:tcPr>
            <w:tcW w:w="1525"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3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認知症対応型共同生活介護</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2</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703"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03"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5</w:t>
            </w:r>
          </w:p>
        </w:tc>
      </w:tr>
      <w:tr>
        <w:trPr/>
        <w:tc>
          <w:tcPr>
            <w:tcW w:w="1525" w:type="dxa"/>
            <w:vMerge w:val="continue"/>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32" w:type="dxa"/>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住宅型有料老人ホーム</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3"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3</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r>
              <w:rPr>
                <w:rFonts w:hint="default" w:ascii="ＭＳ 明朝" w:hAnsi="ＭＳ 明朝" w:eastAsia="ＭＳ 明朝"/>
                <w:sz w:val="16"/>
              </w:rPr>
              <w:t>1</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4</w:t>
            </w:r>
          </w:p>
        </w:tc>
        <w:tc>
          <w:tcPr>
            <w:tcW w:w="703"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03"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55</w:t>
            </w:r>
          </w:p>
        </w:tc>
      </w:tr>
      <w:tr>
        <w:trPr/>
        <w:tc>
          <w:tcPr>
            <w:tcW w:w="1525"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p>
        </w:tc>
        <w:tc>
          <w:tcPr>
            <w:tcW w:w="263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spacing w:line="280" w:lineRule="exact"/>
              <w:rPr>
                <w:rFonts w:hint="default" w:ascii="ＭＳ ゴシック" w:hAnsi="ＭＳ ゴシック" w:eastAsia="ＭＳ ゴシック"/>
                <w:sz w:val="18"/>
              </w:rPr>
            </w:pPr>
            <w:r>
              <w:rPr>
                <w:rFonts w:hint="eastAsia" w:ascii="ＭＳ ゴシック" w:hAnsi="ＭＳ ゴシック" w:eastAsia="ＭＳ ゴシック"/>
                <w:sz w:val="18"/>
              </w:rPr>
              <w:t>サービス付き高齢者向け住宅</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70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7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03"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r>
      <w:tr>
        <w:trPr/>
        <w:tc>
          <w:tcPr>
            <w:tcW w:w="4157" w:type="dxa"/>
            <w:gridSpan w:val="2"/>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居住系サービス　合計</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2</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6</w:t>
            </w:r>
          </w:p>
        </w:tc>
        <w:tc>
          <w:tcPr>
            <w:tcW w:w="70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47</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23</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9</w:t>
            </w:r>
          </w:p>
        </w:tc>
        <w:tc>
          <w:tcPr>
            <w:tcW w:w="703"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2"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w:t>
            </w:r>
          </w:p>
        </w:tc>
        <w:tc>
          <w:tcPr>
            <w:tcW w:w="703"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r>
              <w:rPr>
                <w:rFonts w:hint="default" w:ascii="ＭＳ 明朝" w:hAnsi="ＭＳ 明朝" w:eastAsia="ＭＳ 明朝"/>
                <w:sz w:val="16"/>
              </w:rPr>
              <w:t>34</w:t>
            </w:r>
          </w:p>
        </w:tc>
      </w:tr>
      <w:tr>
        <w:trPr/>
        <w:tc>
          <w:tcPr>
            <w:tcW w:w="4157"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介護保険施設＋居住系サービス　総合計</w:t>
            </w:r>
          </w:p>
        </w:tc>
        <w:tc>
          <w:tcPr>
            <w:tcW w:w="70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0</w:t>
            </w:r>
          </w:p>
        </w:tc>
        <w:tc>
          <w:tcPr>
            <w:tcW w:w="70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7</w:t>
            </w:r>
          </w:p>
        </w:tc>
        <w:tc>
          <w:tcPr>
            <w:tcW w:w="703"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78</w:t>
            </w:r>
          </w:p>
        </w:tc>
        <w:tc>
          <w:tcPr>
            <w:tcW w:w="70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16</w:t>
            </w:r>
          </w:p>
        </w:tc>
        <w:tc>
          <w:tcPr>
            <w:tcW w:w="70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20</w:t>
            </w:r>
          </w:p>
        </w:tc>
        <w:tc>
          <w:tcPr>
            <w:tcW w:w="703"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0</w:t>
            </w:r>
          </w:p>
        </w:tc>
        <w:tc>
          <w:tcPr>
            <w:tcW w:w="702"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p>
        </w:tc>
        <w:tc>
          <w:tcPr>
            <w:tcW w:w="703" w:type="dxa"/>
            <w:tcBorders>
              <w:top w:val="double" w:color="auto" w:sz="4" w:space="0"/>
              <w:left w:val="double" w:color="auto" w:sz="4" w:space="0"/>
              <w:bottom w:val="sing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r>
              <w:rPr>
                <w:rFonts w:hint="default" w:ascii="ＭＳ 明朝" w:hAnsi="ＭＳ 明朝" w:eastAsia="ＭＳ 明朝"/>
                <w:sz w:val="16"/>
              </w:rPr>
              <w:t>98</w:t>
            </w:r>
          </w:p>
        </w:tc>
      </w:tr>
    </w:tbl>
    <w:p>
      <w:pPr>
        <w:pStyle w:val="0"/>
        <w:rPr>
          <w:rFonts w:hint="default"/>
        </w:rPr>
      </w:pPr>
    </w:p>
    <w:p>
      <w:pPr>
        <w:pStyle w:val="0"/>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医療処置を受けている人数について</w:t>
      </w:r>
    </w:p>
    <w:p>
      <w:pPr>
        <w:pStyle w:val="0"/>
        <w:jc w:val="both"/>
        <w:rPr>
          <w:rFonts w:hint="default"/>
        </w:rPr>
      </w:pPr>
      <w:r>
        <w:rPr>
          <w:rFonts w:hint="eastAsia"/>
        </w:rPr>
        <w:t>　医療処置を受けている人数については、全体では「喀痰吸引」が</w:t>
      </w:r>
      <w:r>
        <w:rPr>
          <w:rFonts w:hint="eastAsia"/>
        </w:rPr>
        <w:t>33</w:t>
      </w:r>
      <w:r>
        <w:rPr>
          <w:rFonts w:hint="eastAsia"/>
        </w:rPr>
        <w:t>人で最も多く、次いで「経管栄養」が</w:t>
      </w:r>
      <w:r>
        <w:rPr>
          <w:rFonts w:hint="eastAsia"/>
        </w:rPr>
        <w:t>25</w:t>
      </w:r>
      <w:r>
        <w:rPr>
          <w:rFonts w:hint="eastAsia"/>
        </w:rPr>
        <w:t>人、「酸素療法」、「疼痛の看護」が</w:t>
      </w:r>
      <w:r>
        <w:rPr>
          <w:rFonts w:hint="eastAsia"/>
        </w:rPr>
        <w:t>14</w:t>
      </w:r>
      <w:r>
        <w:rPr>
          <w:rFonts w:hint="eastAsia"/>
        </w:rPr>
        <w:t>人となっています。</w:t>
      </w:r>
    </w:p>
    <w:p>
      <w:pPr>
        <w:pStyle w:val="0"/>
        <w:rPr>
          <w:rFonts w:hint="default"/>
        </w:rPr>
      </w:pPr>
    </w:p>
    <w:p>
      <w:pPr>
        <w:pStyle w:val="0"/>
        <w:ind w:right="-1025" w:rightChars="-427" w:firstLine="2940" w:firstLineChars="1400"/>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4</w:t>
      </w:r>
      <w:r>
        <w:rPr>
          <w:rFonts w:hint="default" w:ascii="ＭＳ ゴシック" w:hAnsi="ＭＳ ゴシック" w:eastAsia="ＭＳ ゴシック"/>
          <w:sz w:val="21"/>
        </w:rPr>
        <w:t>9</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医療処置を受けている人数　　　　　　　　　　　</w:t>
      </w:r>
      <w:r>
        <w:rPr>
          <w:rFonts w:hint="eastAsia" w:ascii="ＭＳ ゴシック" w:hAnsi="ＭＳ ゴシック" w:eastAsia="ＭＳ ゴシック"/>
          <w:sz w:val="16"/>
        </w:rPr>
        <w:t>（単位：人）</w:t>
      </w:r>
    </w:p>
    <w:tbl>
      <w:tblPr>
        <w:tblStyle w:val="59"/>
        <w:tblpPr w:leftFromText="142" w:rightFromText="142" w:topFromText="0" w:bottomFromText="0" w:vertAnchor="text" w:horzAnchor="text" w:tblpXSpec="left" w:tblpY="1"/>
        <w:tblOverlap w:val="never"/>
        <w:tblW w:w="9776" w:type="dxa"/>
        <w:tblLayout w:type="fixed"/>
        <w:tblLook w:firstRow="1" w:lastRow="0" w:firstColumn="1" w:lastColumn="0" w:noHBand="0" w:noVBand="1" w:val="04A0"/>
      </w:tblPr>
      <w:tblGrid>
        <w:gridCol w:w="1555"/>
        <w:gridCol w:w="548"/>
        <w:gridCol w:w="548"/>
        <w:gridCol w:w="548"/>
        <w:gridCol w:w="548"/>
        <w:gridCol w:w="548"/>
        <w:gridCol w:w="548"/>
        <w:gridCol w:w="548"/>
        <w:gridCol w:w="548"/>
        <w:gridCol w:w="548"/>
        <w:gridCol w:w="548"/>
        <w:gridCol w:w="548"/>
        <w:gridCol w:w="548"/>
        <w:gridCol w:w="548"/>
        <w:gridCol w:w="548"/>
        <w:gridCol w:w="549"/>
      </w:tblGrid>
      <w:tr>
        <w:trPr>
          <w:cantSplit/>
          <w:trHeight w:val="1833" w:hRule="atLeast"/>
        </w:trPr>
        <w:tc>
          <w:tcPr>
            <w:tcW w:w="1555" w:type="dxa"/>
            <w:shd w:val="clear" w:color="auto" w:themeFill="accent5" w:themeFillTint="33" w:themeFillShade="FF"/>
            <w:vAlign w:val="top"/>
          </w:tcPr>
          <w:p>
            <w:pPr>
              <w:pStyle w:val="0"/>
              <w:jc w:val="center"/>
              <w:rPr>
                <w:rFonts w:hint="default" w:ascii="ＭＳ ゴシック" w:hAnsi="ＭＳ ゴシック" w:eastAsia="ＭＳ ゴシック"/>
                <w:sz w:val="14"/>
              </w:rPr>
            </w:pPr>
          </w:p>
        </w:tc>
        <w:tc>
          <w:tcPr>
            <w:tcW w:w="548"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点滴の管理</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中心静脈栄養</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透析</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ストーマの処置</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酸素療法</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レスピレーター</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気管切開の処置</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疼痛の看護</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経管栄養</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モニター測定</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褥瘡の処置</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カテーテル</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喀痰吸引</w:t>
            </w:r>
          </w:p>
        </w:tc>
        <w:tc>
          <w:tcPr>
            <w:tcW w:w="548" w:type="dxa"/>
            <w:shd w:val="clear" w:color="auto" w:themeFill="accent5" w:themeFillTint="33" w:themeFillShade="FF"/>
            <w:textDirection w:val="tbRlV"/>
            <w:vAlign w:val="center"/>
          </w:tcPr>
          <w:p>
            <w:pPr>
              <w:pStyle w:val="0"/>
              <w:spacing w:line="200" w:lineRule="exact"/>
              <w:ind w:left="113" w:right="113"/>
              <w:jc w:val="both"/>
              <w:rPr>
                <w:rFonts w:hint="default" w:ascii="ＭＳ ゴシック" w:hAnsi="ＭＳ ゴシック" w:eastAsia="ＭＳ ゴシック"/>
                <w:sz w:val="18"/>
              </w:rPr>
            </w:pPr>
            <w:r>
              <w:rPr>
                <w:rFonts w:hint="default" w:ascii="ＭＳ ゴシック" w:hAnsi="ＭＳ ゴシック" w:eastAsia="ＭＳ ゴシック"/>
                <w:sz w:val="18"/>
              </w:rPr>
              <w:t>インスリン注射</w:t>
            </w:r>
          </w:p>
        </w:tc>
        <w:tc>
          <w:tcPr>
            <w:tcW w:w="549"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33"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合計</w:t>
            </w:r>
          </w:p>
        </w:tc>
      </w:tr>
      <w:tr>
        <w:trPr/>
        <w:tc>
          <w:tcPr>
            <w:tcW w:w="1555" w:type="dxa"/>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介護保険施設</w:t>
            </w:r>
          </w:p>
        </w:tc>
        <w:tc>
          <w:tcPr>
            <w:tcW w:w="548"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54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7</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548" w:type="dxa"/>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8</w:t>
            </w:r>
          </w:p>
        </w:tc>
        <w:tc>
          <w:tcPr>
            <w:tcW w:w="548" w:type="dxa"/>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549"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7</w:t>
            </w:r>
            <w:r>
              <w:rPr>
                <w:rFonts w:hint="default" w:ascii="ＭＳ 明朝" w:hAnsi="ＭＳ 明朝" w:eastAsia="ＭＳ 明朝"/>
                <w:sz w:val="16"/>
              </w:rPr>
              <w:t>9</w:t>
            </w:r>
          </w:p>
        </w:tc>
      </w:tr>
      <w:tr>
        <w:trPr/>
        <w:tc>
          <w:tcPr>
            <w:tcW w:w="155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居住系サービス</w:t>
            </w:r>
          </w:p>
        </w:tc>
        <w:tc>
          <w:tcPr>
            <w:tcW w:w="548"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p>
        </w:tc>
        <w:tc>
          <w:tcPr>
            <w:tcW w:w="548"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548"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p>
        </w:tc>
        <w:tc>
          <w:tcPr>
            <w:tcW w:w="548"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548"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548"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4</w:t>
            </w:r>
          </w:p>
        </w:tc>
        <w:tc>
          <w:tcPr>
            <w:tcW w:w="549"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r>
              <w:rPr>
                <w:rFonts w:hint="default" w:ascii="ＭＳ 明朝" w:hAnsi="ＭＳ 明朝" w:eastAsia="ＭＳ 明朝"/>
                <w:sz w:val="16"/>
              </w:rPr>
              <w:t>9</w:t>
            </w:r>
          </w:p>
        </w:tc>
      </w:tr>
      <w:tr>
        <w:trPr/>
        <w:tc>
          <w:tcPr>
            <w:tcW w:w="1555"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合計</w:t>
            </w:r>
          </w:p>
        </w:tc>
        <w:tc>
          <w:tcPr>
            <w:tcW w:w="548"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8</w:t>
            </w:r>
          </w:p>
        </w:tc>
        <w:tc>
          <w:tcPr>
            <w:tcW w:w="548"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p>
        </w:tc>
        <w:tc>
          <w:tcPr>
            <w:tcW w:w="548"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6</w:t>
            </w:r>
          </w:p>
        </w:tc>
        <w:tc>
          <w:tcPr>
            <w:tcW w:w="548"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548"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0</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4</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2</w:t>
            </w:r>
            <w:r>
              <w:rPr>
                <w:rFonts w:hint="default" w:ascii="ＭＳ 明朝" w:hAnsi="ＭＳ 明朝" w:eastAsia="ＭＳ 明朝"/>
                <w:sz w:val="16"/>
              </w:rPr>
              <w:t>5</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5</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9</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3</w:t>
            </w:r>
            <w:r>
              <w:rPr>
                <w:rFonts w:hint="default" w:ascii="ＭＳ 明朝" w:hAnsi="ＭＳ 明朝" w:eastAsia="ＭＳ 明朝"/>
                <w:sz w:val="16"/>
              </w:rPr>
              <w:t>3</w:t>
            </w:r>
          </w:p>
        </w:tc>
        <w:tc>
          <w:tcPr>
            <w:tcW w:w="54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0</w:t>
            </w:r>
          </w:p>
        </w:tc>
        <w:tc>
          <w:tcPr>
            <w:tcW w:w="549"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spacing w:line="280" w:lineRule="exact"/>
              <w:jc w:val="right"/>
              <w:rPr>
                <w:rFonts w:hint="default" w:ascii="ＭＳ 明朝" w:hAnsi="ＭＳ 明朝" w:eastAsia="ＭＳ 明朝"/>
                <w:sz w:val="16"/>
              </w:rPr>
            </w:pPr>
            <w:r>
              <w:rPr>
                <w:rFonts w:hint="eastAsia" w:ascii="ＭＳ 明朝" w:hAnsi="ＭＳ 明朝" w:eastAsia="ＭＳ 明朝"/>
                <w:sz w:val="16"/>
              </w:rPr>
              <w:t>1</w:t>
            </w:r>
            <w:r>
              <w:rPr>
                <w:rFonts w:hint="default" w:ascii="ＭＳ 明朝" w:hAnsi="ＭＳ 明朝" w:eastAsia="ＭＳ 明朝"/>
                <w:sz w:val="16"/>
              </w:rPr>
              <w:t>38</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介護人材の確保が困難な職種及びその理由について</w:t>
      </w:r>
    </w:p>
    <w:p>
      <w:pPr>
        <w:pStyle w:val="0"/>
        <w:jc w:val="both"/>
        <w:rPr>
          <w:rFonts w:hint="default"/>
        </w:rPr>
      </w:pPr>
      <w:r>
        <w:rPr>
          <w:rFonts w:hint="eastAsia"/>
        </w:rPr>
        <w:t>　介護人材の確保が困難な職種については、介護保険施設では「介護職員」が</w:t>
      </w:r>
      <w:r>
        <w:rPr>
          <w:rFonts w:hint="eastAsia"/>
        </w:rPr>
        <w:t>83.3</w:t>
      </w:r>
      <w:r>
        <w:rPr>
          <w:rFonts w:hint="eastAsia"/>
        </w:rPr>
        <w:t>％、居住系サービスでは「介護職員」が</w:t>
      </w:r>
      <w:r>
        <w:rPr>
          <w:rFonts w:hint="eastAsia"/>
        </w:rPr>
        <w:t>84.6</w:t>
      </w:r>
      <w:r>
        <w:rPr>
          <w:rFonts w:hint="eastAsia"/>
        </w:rPr>
        <w:t>％で、いずれも最も多くなっています。</w:t>
      </w:r>
    </w:p>
    <w:p>
      <w:pPr>
        <w:pStyle w:val="0"/>
        <w:rPr>
          <w:rFonts w:hint="default"/>
        </w:rPr>
      </w:pPr>
    </w:p>
    <w:p>
      <w:pPr>
        <w:pStyle w:val="0"/>
        <w:jc w:val="center"/>
        <w:rPr>
          <w:rFonts w:hint="default"/>
        </w:rPr>
      </w:pPr>
      <w:r>
        <w:rPr>
          <w:rFonts w:hint="eastAsia"/>
        </w:rPr>
        <mc:AlternateContent>
          <mc:Choice Requires="wps">
            <w:drawing>
              <wp:anchor distT="0" distB="0" distL="114300" distR="114300" simplePos="0" relativeHeight="54" behindDoc="0" locked="0" layoutInCell="1" hidden="0" allowOverlap="1">
                <wp:simplePos x="0" y="0"/>
                <wp:positionH relativeFrom="column">
                  <wp:posOffset>3300730</wp:posOffset>
                </wp:positionH>
                <wp:positionV relativeFrom="paragraph">
                  <wp:posOffset>152400</wp:posOffset>
                </wp:positionV>
                <wp:extent cx="1077595" cy="361315"/>
                <wp:effectExtent l="0" t="0" r="635" b="635"/>
                <wp:wrapNone/>
                <wp:docPr id="1082" name="テキスト ボックス 15"/>
                <a:graphic xmlns:a="http://schemas.openxmlformats.org/drawingml/2006/main">
                  <a:graphicData uri="http://schemas.microsoft.com/office/word/2010/wordprocessingShape">
                    <wps:wsp>
                      <wps:cNvPr id="1082" name="テキスト ボックス 15"/>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12pt;mso-position-vertical-relative:text;mso-position-horizontal-relative:text;v-text-anchor:top;position:absolute;height:28.45pt;mso-wrap-distance-top:0pt;width:84.85pt;mso-wrap-distance-left:9pt;margin-left:259.89pt;z-index:54;" o:spid="_x0000_s1082"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v:textbox>
                <v:imagedata o:title=""/>
                <w10:wrap type="none" anchorx="text" anchory="text"/>
              </v:shape>
            </w:pict>
          </mc:Fallback>
        </mc:AlternateContent>
      </w:r>
      <w:r>
        <w:rPr>
          <w:rFonts w:hint="default"/>
        </w:rPr>
        <w:drawing>
          <wp:anchor distT="0" distB="0" distL="114300" distR="114300" simplePos="0" relativeHeight="49" behindDoc="0" locked="0" layoutInCell="1" hidden="0" allowOverlap="1">
            <wp:simplePos x="0" y="0"/>
            <wp:positionH relativeFrom="column">
              <wp:posOffset>502920</wp:posOffset>
            </wp:positionH>
            <wp:positionV relativeFrom="paragraph">
              <wp:posOffset>226060</wp:posOffset>
            </wp:positionV>
            <wp:extent cx="3873500" cy="2089150"/>
            <wp:effectExtent l="0" t="0" r="0" b="0"/>
            <wp:wrapSquare wrapText="bothSides"/>
            <wp:docPr id="1083" name="Picture 18"/>
            <a:graphic xmlns:a="http://schemas.openxmlformats.org/drawingml/2006/main">
              <a:graphicData uri="http://schemas.openxmlformats.org/drawingml/2006/picture">
                <pic:pic xmlns:pic="http://schemas.openxmlformats.org/drawingml/2006/picture">
                  <pic:nvPicPr>
                    <pic:cNvPr id="1083" name="Picture 18"/>
                    <pic:cNvPicPr>
                      <a:picLocks noChangeAspect="1" noChangeArrowheads="1"/>
                    </pic:cNvPicPr>
                  </pic:nvPicPr>
                  <pic:blipFill>
                    <a:blip r:embed="rId54"/>
                    <a:srcRect l="2141" r="27997"/>
                    <a:stretch>
                      <a:fillRect/>
                    </a:stretch>
                  </pic:blipFill>
                  <pic:spPr>
                    <a:xfrm>
                      <a:off x="0" y="0"/>
                      <a:ext cx="3873500" cy="208915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0</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介護人材の確保が困難な職種及びその理由（介護保険施設）</w:t>
      </w:r>
    </w:p>
    <w:p>
      <w:pPr>
        <w:pStyle w:val="0"/>
        <w:rPr>
          <w:rFonts w:hint="default"/>
        </w:rPr>
      </w:pPr>
      <w:r>
        <w:rPr>
          <w:rFonts w:hint="default"/>
        </w:rPr>
        <w:t xml:space="preserve"> </w:t>
      </w:r>
    </w:p>
    <w:p>
      <w:pPr>
        <w:pStyle w:val="0"/>
        <w:jc w:val="right"/>
        <w:rPr>
          <w:rFonts w:hint="default"/>
        </w:rPr>
      </w:pPr>
      <w:r>
        <w:rPr>
          <w:rFonts w:hint="default"/>
        </w:rPr>
        <mc:AlternateContent>
          <mc:Choice Requires="wps">
            <w:drawing>
              <wp:anchor distT="0" distB="0" distL="114300" distR="114300" simplePos="0" relativeHeight="48" behindDoc="0" locked="0" layoutInCell="1" hidden="0" allowOverlap="1">
                <wp:simplePos x="0" y="0"/>
                <wp:positionH relativeFrom="column">
                  <wp:posOffset>322580</wp:posOffset>
                </wp:positionH>
                <wp:positionV relativeFrom="paragraph">
                  <wp:posOffset>183515</wp:posOffset>
                </wp:positionV>
                <wp:extent cx="180340" cy="1449705"/>
                <wp:effectExtent l="2540" t="635" r="29845" b="10795"/>
                <wp:wrapNone/>
                <wp:docPr id="1084" name="左中かっこ 1134"/>
                <a:graphic xmlns:a="http://schemas.openxmlformats.org/drawingml/2006/main">
                  <a:graphicData uri="http://schemas.microsoft.com/office/word/2010/wordprocessingShape">
                    <wps:wsp>
                      <wps:cNvPr id="1084" name="左中かっこ 1134"/>
                      <wps:cNvSpPr/>
                      <wps:spPr>
                        <a:xfrm>
                          <a:off x="0" y="0"/>
                          <a:ext cx="180340" cy="1449705"/>
                        </a:xfrm>
                        <a:prstGeom prst="leftBrace">
                          <a:avLst>
                            <a:gd name="adj1" fmla="val 51883"/>
                            <a:gd name="adj2" fmla="val 500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34" style="mso-wrap-distance-right:9pt;mso-wrap-distance-bottom:0pt;margin-top:14.45pt;mso-position-vertical-relative:text;mso-position-horizontal-relative:text;position:absolute;height:114.15pt;mso-wrap-distance-top:0pt;width:14.2pt;mso-wrap-distance-left:9pt;margin-left:25.4pt;z-index:48;" o:spid="_x0000_s1084" o:allowincell="t" o:allowoverlap="t" filled="f" stroked="t" strokecolor="#4472c4 [3204]" strokeweight="0.5pt" o:spt="87" type="#_x0000_t87" adj="5400,108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53" behindDoc="0" locked="0" layoutInCell="1" hidden="0" allowOverlap="1">
                <wp:simplePos x="0" y="0"/>
                <wp:positionH relativeFrom="column">
                  <wp:posOffset>121920</wp:posOffset>
                </wp:positionH>
                <wp:positionV relativeFrom="paragraph">
                  <wp:posOffset>221615</wp:posOffset>
                </wp:positionV>
                <wp:extent cx="2781300" cy="1052195"/>
                <wp:effectExtent l="635" t="635" r="24130" b="55880"/>
                <wp:wrapNone/>
                <wp:docPr id="1085" name="フリーフォーム: 図形 1139"/>
                <a:graphic xmlns:a="http://schemas.openxmlformats.org/drawingml/2006/main">
                  <a:graphicData uri="http://schemas.microsoft.com/office/word/2010/wordprocessingShape">
                    <wps:wsp>
                      <wps:cNvPr id="1085" name="フリーフォーム: 図形 1139"/>
                      <wps:cNvSpPr/>
                      <wps:spPr>
                        <a:xfrm>
                          <a:off x="0" y="0"/>
                          <a:ext cx="2781300" cy="1052195"/>
                        </a:xfrm>
                        <a:custGeom>
                          <a:avLst/>
                          <a:gdLst>
                            <a:gd name="connsiteX0" fmla="*/ 729276 w 2384172"/>
                            <a:gd name="connsiteY0" fmla="*/ 0 h 1054645"/>
                            <a:gd name="connsiteX1" fmla="*/ 0 w 2384172"/>
                            <a:gd name="connsiteY1" fmla="*/ 0 h 1054645"/>
                            <a:gd name="connsiteX2" fmla="*/ 0 w 2384172"/>
                            <a:gd name="connsiteY2" fmla="*/ 1054645 h 1054645"/>
                            <a:gd name="connsiteX3" fmla="*/ 2384172 w 2384172"/>
                            <a:gd name="connsiteY3" fmla="*/ 1054645 h 1054645"/>
                            <a:gd name="connsiteX0" fmla="*/ 201134 w 2384172"/>
                            <a:gd name="connsiteY0" fmla="*/ 0 h 1054645"/>
                            <a:gd name="connsiteX1" fmla="*/ 0 w 2384172"/>
                            <a:gd name="connsiteY1" fmla="*/ 0 h 1054645"/>
                            <a:gd name="connsiteX2" fmla="*/ 0 w 2384172"/>
                            <a:gd name="connsiteY2" fmla="*/ 1054645 h 1054645"/>
                            <a:gd name="connsiteX3" fmla="*/ 2384172 w 2384172"/>
                            <a:gd name="connsiteY3" fmla="*/ 1054645 h 1054645"/>
                            <a:gd name="connsiteX0" fmla="*/ 201134 w 2781801"/>
                            <a:gd name="connsiteY0" fmla="*/ 0 h 1054645"/>
                            <a:gd name="connsiteX1" fmla="*/ 0 w 2781801"/>
                            <a:gd name="connsiteY1" fmla="*/ 0 h 1054645"/>
                            <a:gd name="connsiteX2" fmla="*/ 0 w 2781801"/>
                            <a:gd name="connsiteY2" fmla="*/ 1054645 h 1054645"/>
                            <a:gd name="connsiteX3" fmla="*/ 2781801 w 2781801"/>
                            <a:gd name="connsiteY3" fmla="*/ 1054645 h 1054645"/>
                          </a:gdLst>
                          <a:ahLst/>
                          <a:cxnLst>
                            <a:cxn ang="0">
                              <a:pos x="connsiteX0" y="connsiteY0"/>
                            </a:cxn>
                            <a:cxn ang="0">
                              <a:pos x="connsiteX1" y="connsiteY1"/>
                            </a:cxn>
                            <a:cxn ang="0">
                              <a:pos x="connsiteX2" y="connsiteY2"/>
                            </a:cxn>
                            <a:cxn ang="0">
                              <a:pos x="connsiteX3" y="connsiteY3"/>
                            </a:cxn>
                          </a:cxnLst>
                          <a:rect l="l" t="t" r="r" b="b"/>
                          <a:pathLst>
                            <a:path w="2781801" h="1054645">
                              <a:moveTo>
                                <a:pt x="201134" y="0"/>
                              </a:moveTo>
                              <a:lnTo>
                                <a:pt x="0" y="0"/>
                              </a:lnTo>
                              <a:lnTo>
                                <a:pt x="0" y="1054645"/>
                              </a:lnTo>
                              <a:lnTo>
                                <a:pt x="2781801" y="1054645"/>
                              </a:lnTo>
                            </a:path>
                          </a:pathLst>
                        </a:custGeom>
                        <a:noFill/>
                        <a:ln w="6350">
                          <a:solidFill>
                            <a:schemeClr val="accent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1139" style="mso-wrap-distance-right:9pt;mso-wrap-distance-bottom:0pt;margin-top:17.45pt;mso-position-vertical-relative:text;mso-position-horizontal-relative:text;position:absolute;height:82.85pt;mso-wrap-distance-top:0pt;width:219pt;mso-wrap-distance-left:9pt;margin-left:9.6pt;z-index:53;" o:spid="_x0000_s1085" o:allowincell="t" o:allowoverlap="t" filled="f" stroked="t" strokecolor="#4472c4 [3204]" strokeweight="0.5pt" o:spt="100" path="m1562,0l1562,0l0,0l0,21600l21600,21600e">
                <v:path textboxrect="0,0,21600,21600" arrowok="true" o:connecttype="custom" o:connectlocs="6607,0;0,0;0,21600;21600,21600" o:connectangles="0,0,0,0"/>
                <v:fill/>
                <v:stroke linestyle="single" miterlimit="8" endcap="flat" dashstyle="solid" filltype="solid" startarrow="none" startarrowwidth="medium" startarrowlength="medium" endarrow="open" endarrowwidth="medium" endarrowlength="medium"/>
                <v:textbox style="layout-flow:horizontal;"/>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55" behindDoc="0" locked="0" layoutInCell="1" hidden="0" allowOverlap="1">
                <wp:simplePos x="0" y="0"/>
                <wp:positionH relativeFrom="column">
                  <wp:posOffset>4989830</wp:posOffset>
                </wp:positionH>
                <wp:positionV relativeFrom="paragraph">
                  <wp:posOffset>78740</wp:posOffset>
                </wp:positionV>
                <wp:extent cx="1077595" cy="361315"/>
                <wp:effectExtent l="0" t="0" r="635" b="635"/>
                <wp:wrapNone/>
                <wp:docPr id="1086" name="テキスト ボックス 1"/>
                <a:graphic xmlns:a="http://schemas.openxmlformats.org/drawingml/2006/main">
                  <a:graphicData uri="http://schemas.microsoft.com/office/word/2010/wordprocessingShape">
                    <wps:wsp>
                      <wps:cNvPr id="1086" name="テキスト ボックス 1"/>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wrap-distance-right:9pt;mso-wrap-distance-bottom:0pt;margin-top:6.2pt;mso-position-vertical-relative:text;mso-position-horizontal-relative:text;v-text-anchor:top;position:absolute;height:28.45pt;mso-wrap-distance-top:0pt;width:84.85pt;mso-wrap-distance-left:9pt;margin-left:392.9pt;z-index:55;" o:spid="_x0000_s1086"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v:textbox>
                <v:imagedata o:title=""/>
                <w10:wrap type="none" anchorx="text" anchory="text"/>
              </v:shape>
            </w:pict>
          </mc:Fallback>
        </mc:AlternateContent>
      </w:r>
      <w:r>
        <w:rPr>
          <w:rFonts w:hint="default"/>
        </w:rPr>
        <w:drawing>
          <wp:anchor distT="0" distB="0" distL="114300" distR="114300" simplePos="0" relativeHeight="47" behindDoc="1" locked="0" layoutInCell="1" hidden="0" allowOverlap="1">
            <wp:simplePos x="0" y="0"/>
            <wp:positionH relativeFrom="column">
              <wp:posOffset>2567305</wp:posOffset>
            </wp:positionH>
            <wp:positionV relativeFrom="paragraph">
              <wp:posOffset>146050</wp:posOffset>
            </wp:positionV>
            <wp:extent cx="3676015" cy="1974850"/>
            <wp:effectExtent l="0" t="0" r="0" b="0"/>
            <wp:wrapNone/>
            <wp:docPr id="1087" name="Picture 19"/>
            <a:graphic xmlns:a="http://schemas.openxmlformats.org/drawingml/2006/main">
              <a:graphicData uri="http://schemas.openxmlformats.org/drawingml/2006/picture">
                <pic:pic xmlns:pic="http://schemas.openxmlformats.org/drawingml/2006/picture">
                  <pic:nvPicPr>
                    <pic:cNvPr id="1087" name="Picture 19"/>
                    <pic:cNvPicPr>
                      <a:picLocks noChangeAspect="1" noChangeArrowheads="1"/>
                    </pic:cNvPicPr>
                  </pic:nvPicPr>
                  <pic:blipFill>
                    <a:blip r:embed="rId55"/>
                    <a:srcRect l="7932" r="25784"/>
                    <a:stretch>
                      <a:fillRect/>
                    </a:stretch>
                  </pic:blipFill>
                  <pic:spPr>
                    <a:xfrm>
                      <a:off x="0" y="0"/>
                      <a:ext cx="3676015" cy="1974850"/>
                    </a:xfrm>
                    <a:prstGeom prst="rect">
                      <a:avLst/>
                    </a:prstGeom>
                    <a:noFill/>
                    <a:ln>
                      <a:noFill/>
                    </a:ln>
                  </pic:spPr>
                </pic:pic>
              </a:graphicData>
            </a:graphic>
          </wp:anchor>
        </w:drawing>
      </w:r>
    </w:p>
    <w:p>
      <w:pPr>
        <w:pStyle w:val="0"/>
        <w:rPr>
          <w:rFonts w:hint="default"/>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85725</wp:posOffset>
                </wp:positionH>
                <wp:positionV relativeFrom="paragraph">
                  <wp:posOffset>100330</wp:posOffset>
                </wp:positionV>
                <wp:extent cx="2466975" cy="361315"/>
                <wp:effectExtent l="0" t="0" r="635" b="635"/>
                <wp:wrapNone/>
                <wp:docPr id="1088" name="テキスト ボックス 5"/>
                <a:graphic xmlns:a="http://schemas.openxmlformats.org/drawingml/2006/main">
                  <a:graphicData uri="http://schemas.microsoft.com/office/word/2010/wordprocessingShape">
                    <wps:wsp>
                      <wps:cNvPr id="1088" name="テキスト ボックス 5"/>
                      <wps:cNvSpPr txBox="1"/>
                      <wps:spPr>
                        <a:xfrm>
                          <a:off x="0" y="0"/>
                          <a:ext cx="2466975" cy="361315"/>
                        </a:xfrm>
                        <a:prstGeom prst="rect">
                          <a:avLst/>
                        </a:prstGeom>
                        <a:noFill/>
                        <a:ln w="6350">
                          <a:noFill/>
                        </a:ln>
                      </wps:spPr>
                      <wps:txbx>
                        <w:txbxContent>
                          <w:p>
                            <w:pPr>
                              <w:pStyle w:val="0"/>
                              <w:rPr>
                                <w:rFonts w:hint="default" w:ascii="ＭＳ ゴシック" w:hAnsi="ＭＳ ゴシック" w:eastAsia="ＭＳ ゴシック"/>
                                <w:color w:val="4472C4" w:themeColor="accent1"/>
                                <w:sz w:val="17"/>
                              </w:rPr>
                            </w:pPr>
                            <w:r>
                              <w:rPr>
                                <w:rFonts w:hint="eastAsia" w:ascii="ＭＳ ゴシック" w:hAnsi="ＭＳ ゴシック" w:eastAsia="ＭＳ ゴシック"/>
                                <w:color w:val="4472C4" w:themeColor="accent1"/>
                                <w:sz w:val="17"/>
                              </w:rPr>
                              <w:t>介護人材の確保が困難な理由（原因）</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wrap-distance-right:9pt;mso-wrap-distance-bottom:0pt;margin-top:7.9pt;mso-position-vertical-relative:text;mso-position-horizontal-relative:text;v-text-anchor:top;position:absolute;height:28.45pt;mso-wrap-distance-top:0pt;width:194.25pt;mso-wrap-distance-left:9pt;margin-left:6.75pt;z-index:59;" o:spid="_x0000_s1088" o:allowincell="t" o:allowoverlap="t" filled="f" stroked="f" strokeweight="0.5pt" o:spt="202" type="#_x0000_t202">
                <v:fill/>
                <v:textbox style="layout-flow:horizontal;">
                  <w:txbxContent>
                    <w:p>
                      <w:pPr>
                        <w:pStyle w:val="0"/>
                        <w:rPr>
                          <w:rFonts w:hint="default" w:ascii="ＭＳ ゴシック" w:hAnsi="ＭＳ ゴシック" w:eastAsia="ＭＳ ゴシック"/>
                          <w:color w:val="4472C4" w:themeColor="accent1"/>
                          <w:sz w:val="17"/>
                        </w:rPr>
                      </w:pPr>
                      <w:r>
                        <w:rPr>
                          <w:rFonts w:hint="eastAsia" w:ascii="ＭＳ ゴシック" w:hAnsi="ＭＳ ゴシック" w:eastAsia="ＭＳ ゴシック"/>
                          <w:color w:val="4472C4" w:themeColor="accent1"/>
                          <w:sz w:val="17"/>
                        </w:rPr>
                        <w:t>介護人材の確保が困難な理由（原因）</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r>
        <w:rPr>
          <w:rFonts w:hint="eastAsia"/>
        </w:rPr>
        <mc:AlternateContent>
          <mc:Choice Requires="wps">
            <w:drawing>
              <wp:anchor distT="0" distB="0" distL="114300" distR="114300" simplePos="0" relativeHeight="56" behindDoc="0" locked="0" layoutInCell="1" hidden="0" allowOverlap="1">
                <wp:simplePos x="0" y="0"/>
                <wp:positionH relativeFrom="column">
                  <wp:posOffset>3362325</wp:posOffset>
                </wp:positionH>
                <wp:positionV relativeFrom="paragraph">
                  <wp:posOffset>133350</wp:posOffset>
                </wp:positionV>
                <wp:extent cx="1077595" cy="361315"/>
                <wp:effectExtent l="0" t="0" r="635" b="635"/>
                <wp:wrapNone/>
                <wp:docPr id="1089" name="テキスト ボックス 2"/>
                <a:graphic xmlns:a="http://schemas.openxmlformats.org/drawingml/2006/main">
                  <a:graphicData uri="http://schemas.microsoft.com/office/word/2010/wordprocessingShape">
                    <wps:wsp>
                      <wps:cNvPr id="1089" name="テキスト ボックス 2"/>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0.5pt;mso-position-vertical-relative:text;mso-position-horizontal-relative:text;v-text-anchor:top;position:absolute;height:28.45pt;mso-wrap-distance-top:0pt;width:84.85pt;mso-wrap-distance-left:9pt;margin-left:264.75pt;z-index:56;" o:spid="_x0000_s1089"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v:textbox>
                <v:imagedata o:title=""/>
                <w10:wrap type="none" anchorx="text" anchory="text"/>
              </v:shape>
            </w:pict>
          </mc:Fallback>
        </mc:AlternateContent>
      </w:r>
      <w:r>
        <w:rPr>
          <w:rFonts w:hint="default"/>
        </w:rPr>
        <w:drawing>
          <wp:anchor distT="0" distB="0" distL="114300" distR="114300" simplePos="0" relativeHeight="50" behindDoc="0" locked="0" layoutInCell="1" hidden="0" allowOverlap="1">
            <wp:simplePos x="0" y="0"/>
            <wp:positionH relativeFrom="column">
              <wp:posOffset>727075</wp:posOffset>
            </wp:positionH>
            <wp:positionV relativeFrom="paragraph">
              <wp:posOffset>212090</wp:posOffset>
            </wp:positionV>
            <wp:extent cx="3648710" cy="1767840"/>
            <wp:effectExtent l="0" t="0" r="0" b="0"/>
            <wp:wrapSquare wrapText="bothSides"/>
            <wp:docPr id="1090" name="Picture 20"/>
            <a:graphic xmlns:a="http://schemas.openxmlformats.org/drawingml/2006/main">
              <a:graphicData uri="http://schemas.openxmlformats.org/drawingml/2006/picture">
                <pic:pic xmlns:pic="http://schemas.openxmlformats.org/drawingml/2006/picture">
                  <pic:nvPicPr>
                    <pic:cNvPr id="1090" name="Picture 20"/>
                    <pic:cNvPicPr>
                      <a:picLocks noChangeAspect="1" noChangeArrowheads="1"/>
                    </pic:cNvPicPr>
                  </pic:nvPicPr>
                  <pic:blipFill>
                    <a:blip r:embed="rId56"/>
                    <a:srcRect l="5289" r="28922"/>
                    <a:stretch>
                      <a:fillRect/>
                    </a:stretch>
                  </pic:blipFill>
                  <pic:spPr>
                    <a:xfrm>
                      <a:off x="0" y="0"/>
                      <a:ext cx="3648710" cy="176784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1</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介護人材の確保が困難な職種及びその理由（居住系サービス）</w:t>
      </w:r>
    </w:p>
    <w:p>
      <w:pPr>
        <w:pStyle w:val="0"/>
        <w:rPr>
          <w:rFonts w:hint="default"/>
        </w:rPr>
      </w:pPr>
    </w:p>
    <w:p>
      <w:pPr>
        <w:pStyle w:val="0"/>
        <w:jc w:val="right"/>
        <w:rPr>
          <w:rFonts w:hint="default"/>
        </w:rPr>
      </w:pPr>
      <w:r>
        <w:rPr>
          <w:rFonts w:hint="default"/>
        </w:rPr>
        <mc:AlternateContent>
          <mc:Choice Requires="wps">
            <w:drawing>
              <wp:anchor distT="0" distB="0" distL="114300" distR="114300" simplePos="0" relativeHeight="51" behindDoc="0" locked="0" layoutInCell="1" hidden="0" allowOverlap="1">
                <wp:simplePos x="0" y="0"/>
                <wp:positionH relativeFrom="column">
                  <wp:posOffset>1241425</wp:posOffset>
                </wp:positionH>
                <wp:positionV relativeFrom="paragraph">
                  <wp:posOffset>154940</wp:posOffset>
                </wp:positionV>
                <wp:extent cx="180340" cy="1069340"/>
                <wp:effectExtent l="2540" t="635" r="29845" b="10795"/>
                <wp:wrapNone/>
                <wp:docPr id="1091" name="左中かっこ 1135"/>
                <a:graphic xmlns:a="http://schemas.openxmlformats.org/drawingml/2006/main">
                  <a:graphicData uri="http://schemas.microsoft.com/office/word/2010/wordprocessingShape">
                    <wps:wsp>
                      <wps:cNvPr id="1091" name="左中かっこ 1135"/>
                      <wps:cNvSpPr/>
                      <wps:spPr>
                        <a:xfrm>
                          <a:off x="0" y="0"/>
                          <a:ext cx="180340" cy="1069340"/>
                        </a:xfrm>
                        <a:prstGeom prst="leftBrace">
                          <a:avLst>
                            <a:gd name="adj1" fmla="val 51883"/>
                            <a:gd name="adj2" fmla="val 50000"/>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35" style="mso-wrap-distance-right:9pt;mso-wrap-distance-bottom:0pt;margin-top:12.2pt;mso-position-vertical-relative:text;mso-position-horizontal-relative:text;position:absolute;height:84.2pt;mso-wrap-distance-top:0pt;width:14.2pt;mso-wrap-distance-left:9pt;margin-left:97.75pt;z-index:51;" o:spid="_x0000_s1091" o:allowincell="t" o:allowoverlap="t" filled="f" stroked="t" strokecolor="#4472c4 [3204]" strokeweight="0.5pt" o:spt="87" type="#_x0000_t87" adj="5400,108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r>
        <w:rPr>
          <w:rFonts w:hint="default"/>
          <w:color w:val="4472C4" w:themeColor="accent1"/>
        </w:rPr>
        <mc:AlternateContent>
          <mc:Choice Requires="wps">
            <w:drawing>
              <wp:anchor distT="0" distB="0" distL="114300" distR="114300" simplePos="0" relativeHeight="52" behindDoc="0" locked="0" layoutInCell="1" hidden="0" allowOverlap="1">
                <wp:simplePos x="0" y="0"/>
                <wp:positionH relativeFrom="column">
                  <wp:posOffset>495300</wp:posOffset>
                </wp:positionH>
                <wp:positionV relativeFrom="paragraph">
                  <wp:posOffset>225425</wp:posOffset>
                </wp:positionV>
                <wp:extent cx="2383790" cy="979805"/>
                <wp:effectExtent l="635" t="635" r="24130" b="55880"/>
                <wp:wrapNone/>
                <wp:docPr id="1092" name="フリーフォーム: 図形 1136"/>
                <a:graphic xmlns:a="http://schemas.openxmlformats.org/drawingml/2006/main">
                  <a:graphicData uri="http://schemas.microsoft.com/office/word/2010/wordprocessingShape">
                    <wps:wsp>
                      <wps:cNvPr id="1092" name="フリーフォーム: 図形 1136"/>
                      <wps:cNvSpPr/>
                      <wps:spPr>
                        <a:xfrm>
                          <a:off x="0" y="0"/>
                          <a:ext cx="2383790" cy="979805"/>
                        </a:xfrm>
                        <a:custGeom>
                          <a:avLst/>
                          <a:gdLst>
                            <a:gd name="connsiteX0" fmla="*/ 729276 w 2384172"/>
                            <a:gd name="connsiteY0" fmla="*/ 0 h 1054645"/>
                            <a:gd name="connsiteX1" fmla="*/ 0 w 2384172"/>
                            <a:gd name="connsiteY1" fmla="*/ 0 h 1054645"/>
                            <a:gd name="connsiteX2" fmla="*/ 0 w 2384172"/>
                            <a:gd name="connsiteY2" fmla="*/ 1054645 h 1054645"/>
                            <a:gd name="connsiteX3" fmla="*/ 2384172 w 2384172"/>
                            <a:gd name="connsiteY3" fmla="*/ 1054645 h 1054645"/>
                          </a:gdLst>
                          <a:ahLst/>
                          <a:cxnLst>
                            <a:cxn ang="0">
                              <a:pos x="connsiteX0" y="connsiteY0"/>
                            </a:cxn>
                            <a:cxn ang="0">
                              <a:pos x="connsiteX1" y="connsiteY1"/>
                            </a:cxn>
                            <a:cxn ang="0">
                              <a:pos x="connsiteX2" y="connsiteY2"/>
                            </a:cxn>
                            <a:cxn ang="0">
                              <a:pos x="connsiteX3" y="connsiteY3"/>
                            </a:cxn>
                          </a:cxnLst>
                          <a:rect l="l" t="t" r="r" b="b"/>
                          <a:pathLst>
                            <a:path w="2384172" h="1054645">
                              <a:moveTo>
                                <a:pt x="729276" y="0"/>
                              </a:moveTo>
                              <a:lnTo>
                                <a:pt x="0" y="0"/>
                              </a:lnTo>
                              <a:lnTo>
                                <a:pt x="0" y="1054645"/>
                              </a:lnTo>
                              <a:lnTo>
                                <a:pt x="2384172" y="1054645"/>
                              </a:lnTo>
                            </a:path>
                          </a:pathLst>
                        </a:custGeom>
                        <a:noFill/>
                        <a:ln w="6350">
                          <a:solidFill>
                            <a:schemeClr val="accent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1136" style="mso-wrap-distance-right:9pt;mso-wrap-distance-bottom:0pt;margin-top:17.75pt;mso-position-vertical-relative:text;mso-position-horizontal-relative:text;position:absolute;height:77.150000000000006pt;mso-wrap-distance-top:0pt;width:187.7pt;mso-wrap-distance-left:9pt;margin-left:39pt;z-index:52;" o:spid="_x0000_s1092" o:allowincell="t" o:allowoverlap="t" filled="f" stroked="t" strokecolor="#4472c4 [3204]" strokeweight="0.5pt" o:spt="100" path="m6607,0l6607,0l0,0l0,21600l21600,21600e">
                <v:path textboxrect="0,0,21600,21600" arrowok="true" o:connecttype="custom" o:connectlocs="6607,0;0,0;0,21600;21600,21600" o:connectangles="0,0,0,0"/>
                <v:fill/>
                <v:stroke linestyle="single" miterlimit="8" endcap="flat" dashstyle="solid" filltype="solid" startarrow="none" startarrowwidth="medium" startarrowlength="medium" endarrow="open" endarrowwidth="medium" endarrowlength="medium"/>
                <v:textbox style="layout-flow:horizontal;"/>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57" behindDoc="0" locked="0" layoutInCell="1" hidden="0" allowOverlap="1">
                <wp:simplePos x="0" y="0"/>
                <wp:positionH relativeFrom="column">
                  <wp:posOffset>5057775</wp:posOffset>
                </wp:positionH>
                <wp:positionV relativeFrom="paragraph">
                  <wp:posOffset>9525</wp:posOffset>
                </wp:positionV>
                <wp:extent cx="1077595" cy="361315"/>
                <wp:effectExtent l="0" t="0" r="635" b="635"/>
                <wp:wrapNone/>
                <wp:docPr id="1093" name="テキスト ボックス 3"/>
                <a:graphic xmlns:a="http://schemas.openxmlformats.org/drawingml/2006/main">
                  <a:graphicData uri="http://schemas.microsoft.com/office/word/2010/wordprocessingShape">
                    <wps:wsp>
                      <wps:cNvPr id="1093" name="テキスト ボックス 3"/>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0.75pt;mso-position-vertical-relative:text;mso-position-horizontal-relative:text;v-text-anchor:top;position:absolute;height:28.45pt;mso-wrap-distance-top:0pt;width:84.85pt;mso-wrap-distance-left:9pt;margin-left:398.25pt;z-index:57;" o:spid="_x0000_s1093"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7"/>
                        </w:rPr>
                      </w:pPr>
                      <w:r>
                        <w:rPr>
                          <w:rFonts w:hint="eastAsia" w:ascii="ＭＳ ゴシック" w:hAnsi="ＭＳ ゴシック" w:eastAsia="ＭＳ ゴシック"/>
                          <w:sz w:val="17"/>
                        </w:rPr>
                        <w:t>（複数回答）</w:t>
                      </w:r>
                    </w:p>
                  </w:txbxContent>
                </v:textbox>
                <v:imagedata o:title=""/>
                <w10:wrap type="none" anchorx="text" anchory="text"/>
              </v:shape>
            </w:pict>
          </mc:Fallback>
        </mc:AlternateContent>
      </w:r>
      <w:r>
        <w:rPr>
          <w:rFonts w:hint="default"/>
        </w:rPr>
        <w:drawing>
          <wp:anchor distT="0" distB="0" distL="114300" distR="114300" simplePos="0" relativeHeight="46" behindDoc="1" locked="0" layoutInCell="1" hidden="0" allowOverlap="1">
            <wp:simplePos x="0" y="0"/>
            <wp:positionH relativeFrom="column">
              <wp:posOffset>2691765</wp:posOffset>
            </wp:positionH>
            <wp:positionV relativeFrom="paragraph">
              <wp:posOffset>86360</wp:posOffset>
            </wp:positionV>
            <wp:extent cx="3381375" cy="1958340"/>
            <wp:effectExtent l="0" t="0" r="0" b="0"/>
            <wp:wrapNone/>
            <wp:docPr id="1094" name="Picture 21"/>
            <a:graphic xmlns:a="http://schemas.openxmlformats.org/drawingml/2006/main">
              <a:graphicData uri="http://schemas.openxmlformats.org/drawingml/2006/picture">
                <pic:pic xmlns:pic="http://schemas.openxmlformats.org/drawingml/2006/picture">
                  <pic:nvPicPr>
                    <pic:cNvPr id="1094" name="Picture 21"/>
                    <pic:cNvPicPr>
                      <a:picLocks noChangeAspect="1" noChangeArrowheads="1"/>
                    </pic:cNvPicPr>
                  </pic:nvPicPr>
                  <pic:blipFill>
                    <a:blip r:embed="rId57">
                      <a:clrChange>
                        <a:clrFrom>
                          <a:srgbClr val="FFFFFF"/>
                        </a:clrFrom>
                        <a:clrTo>
                          <a:srgbClr val="FFFFFF">
                            <a:alpha val="0"/>
                          </a:srgbClr>
                        </a:clrTo>
                      </a:clrChange>
                    </a:blip>
                    <a:srcRect l="8243" r="30792"/>
                    <a:stretch>
                      <a:fillRect/>
                    </a:stretch>
                  </pic:blipFill>
                  <pic:spPr>
                    <a:xfrm>
                      <a:off x="0" y="0"/>
                      <a:ext cx="3381375" cy="1958340"/>
                    </a:xfrm>
                    <a:prstGeom prst="rect">
                      <a:avLst/>
                    </a:prstGeom>
                    <a:noFill/>
                    <a:ln>
                      <a:noFill/>
                    </a:ln>
                  </pic:spPr>
                </pic:pic>
              </a:graphicData>
            </a:graphic>
          </wp:anchor>
        </w:drawing>
      </w:r>
    </w:p>
    <w:p>
      <w:pPr>
        <w:pStyle w:val="0"/>
        <w:rPr>
          <w:rFonts w:hint="default"/>
        </w:rPr>
      </w:pPr>
      <w:r>
        <w:rPr>
          <w:rFonts w:hint="eastAsia"/>
        </w:rPr>
        <mc:AlternateContent>
          <mc:Choice Requires="wps">
            <w:drawing>
              <wp:anchor distT="0" distB="0" distL="114300" distR="114300" simplePos="0" relativeHeight="58" behindDoc="0" locked="0" layoutInCell="1" hidden="0" allowOverlap="1">
                <wp:simplePos x="0" y="0"/>
                <wp:positionH relativeFrom="column">
                  <wp:posOffset>439420</wp:posOffset>
                </wp:positionH>
                <wp:positionV relativeFrom="paragraph">
                  <wp:posOffset>36830</wp:posOffset>
                </wp:positionV>
                <wp:extent cx="2466975" cy="361315"/>
                <wp:effectExtent l="0" t="0" r="635" b="635"/>
                <wp:wrapNone/>
                <wp:docPr id="1095" name="テキスト ボックス 4"/>
                <a:graphic xmlns:a="http://schemas.openxmlformats.org/drawingml/2006/main">
                  <a:graphicData uri="http://schemas.microsoft.com/office/word/2010/wordprocessingShape">
                    <wps:wsp>
                      <wps:cNvPr id="1095" name="テキスト ボックス 4"/>
                      <wps:cNvSpPr txBox="1"/>
                      <wps:spPr>
                        <a:xfrm>
                          <a:off x="0" y="0"/>
                          <a:ext cx="2466975" cy="361315"/>
                        </a:xfrm>
                        <a:prstGeom prst="rect">
                          <a:avLst/>
                        </a:prstGeom>
                        <a:noFill/>
                        <a:ln w="6350">
                          <a:noFill/>
                        </a:ln>
                      </wps:spPr>
                      <wps:txbx>
                        <w:txbxContent>
                          <w:p>
                            <w:pPr>
                              <w:pStyle w:val="0"/>
                              <w:rPr>
                                <w:rFonts w:hint="default" w:ascii="ＭＳ ゴシック" w:hAnsi="ＭＳ ゴシック" w:eastAsia="ＭＳ ゴシック"/>
                                <w:color w:val="4472C4" w:themeColor="accent1"/>
                                <w:sz w:val="17"/>
                              </w:rPr>
                            </w:pPr>
                            <w:r>
                              <w:rPr>
                                <w:rFonts w:hint="eastAsia" w:ascii="ＭＳ ゴシック" w:hAnsi="ＭＳ ゴシック" w:eastAsia="ＭＳ ゴシック"/>
                                <w:color w:val="4472C4" w:themeColor="accent1"/>
                                <w:sz w:val="17"/>
                              </w:rPr>
                              <w:t>介護人材の確保が困難な理由（原因）</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9pt;mso-wrap-distance-bottom:0pt;margin-top:2.9pt;mso-position-vertical-relative:text;mso-position-horizontal-relative:text;v-text-anchor:top;position:absolute;height:28.45pt;mso-wrap-distance-top:0pt;width:194.25pt;mso-wrap-distance-left:9pt;margin-left:34.6pt;z-index:58;" o:spid="_x0000_s1095" o:allowincell="t" o:allowoverlap="t" filled="f" stroked="f" strokeweight="0.5pt" o:spt="202" type="#_x0000_t202">
                <v:fill/>
                <v:textbox style="layout-flow:horizontal;">
                  <w:txbxContent>
                    <w:p>
                      <w:pPr>
                        <w:pStyle w:val="0"/>
                        <w:rPr>
                          <w:rFonts w:hint="default" w:ascii="ＭＳ ゴシック" w:hAnsi="ＭＳ ゴシック" w:eastAsia="ＭＳ ゴシック"/>
                          <w:color w:val="4472C4" w:themeColor="accent1"/>
                          <w:sz w:val="17"/>
                        </w:rPr>
                      </w:pPr>
                      <w:r>
                        <w:rPr>
                          <w:rFonts w:hint="eastAsia" w:ascii="ＭＳ ゴシック" w:hAnsi="ＭＳ ゴシック" w:eastAsia="ＭＳ ゴシック"/>
                          <w:color w:val="4472C4" w:themeColor="accent1"/>
                          <w:sz w:val="17"/>
                        </w:rPr>
                        <w:t>介護人材の確保が困難な理由（原因）</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both"/>
        <w:rPr>
          <w:rFonts w:hint="default"/>
        </w:rPr>
      </w:pPr>
      <w:r>
        <w:rPr>
          <w:rFonts w:hint="eastAsia" w:ascii="ＭＳ ゴシック" w:hAnsi="ＭＳ ゴシック" w:eastAsia="ＭＳ ゴシック"/>
        </w:rPr>
        <w:t>■</w:t>
      </w:r>
      <w:r>
        <w:rPr>
          <w:rFonts w:hint="eastAsia" w:ascii="ＭＳ ゴシック" w:hAnsi="ＭＳ ゴシック" w:eastAsia="ＭＳ ゴシック"/>
          <w:u w:val="single" w:color="auto"/>
        </w:rPr>
        <w:t>職員の離職防止や定着促進を図るための方策とその効果について</w:t>
      </w:r>
    </w:p>
    <w:p>
      <w:pPr>
        <w:pStyle w:val="0"/>
        <w:jc w:val="both"/>
        <w:rPr>
          <w:rFonts w:hint="default"/>
        </w:rPr>
      </w:pPr>
      <w:r>
        <w:rPr>
          <w:rFonts w:hint="eastAsia"/>
        </w:rPr>
        <w:t>　職員の離職防止や定着促進を図るための方策については、「職場内の仕事上のコミュニケーションの円滑化を図っている（定期的なミーティング、意見交換会等）」が</w:t>
      </w:r>
      <w:r>
        <w:rPr>
          <w:rFonts w:hint="eastAsia"/>
        </w:rPr>
        <w:t>89.5</w:t>
      </w:r>
      <w:r>
        <w:rPr>
          <w:rFonts w:hint="eastAsia"/>
        </w:rPr>
        <w:t>％で最も多くなっています。</w:t>
      </w:r>
    </w:p>
    <w:p>
      <w:pPr>
        <w:pStyle w:val="0"/>
        <w:ind w:firstLine="240" w:firstLineChars="100"/>
        <w:jc w:val="both"/>
        <w:rPr>
          <w:rFonts w:hint="default"/>
        </w:rPr>
      </w:pPr>
      <w:r>
        <w:rPr>
          <w:rFonts w:hint="eastAsia"/>
        </w:rPr>
        <w:t>また、職員の離職防止や定着促進の効果については、「賃金・労働時間の労働条件（休暇をとりやすくするなども含む）を改善している」が</w:t>
      </w:r>
      <w:r>
        <w:rPr>
          <w:rFonts w:hint="eastAsia"/>
        </w:rPr>
        <w:t>63.2</w:t>
      </w:r>
      <w:r>
        <w:rPr>
          <w:rFonts w:hint="eastAsia"/>
        </w:rPr>
        <w:t>％で最も多くなっています。</w:t>
      </w:r>
    </w:p>
    <w:p>
      <w:pPr>
        <w:pStyle w:val="0"/>
        <w:rPr>
          <w:rFonts w:hint="default"/>
        </w:rPr>
      </w:pPr>
    </w:p>
    <w:p>
      <w:pPr>
        <w:pStyle w:val="0"/>
        <w:jc w:val="center"/>
        <w:rPr>
          <w:rFonts w:hint="default"/>
        </w:rPr>
      </w:pPr>
      <w:r>
        <w:rPr>
          <w:rFonts w:hint="eastAsia"/>
        </w:rPr>
        <mc:AlternateContent>
          <mc:Choice Requires="wps">
            <w:drawing>
              <wp:anchor distT="0" distB="0" distL="114300" distR="114300" simplePos="0" relativeHeight="61" behindDoc="0" locked="0" layoutInCell="1" hidden="0" allowOverlap="1">
                <wp:simplePos x="0" y="0"/>
                <wp:positionH relativeFrom="column">
                  <wp:posOffset>5458460</wp:posOffset>
                </wp:positionH>
                <wp:positionV relativeFrom="paragraph">
                  <wp:posOffset>228600</wp:posOffset>
                </wp:positionV>
                <wp:extent cx="1077595" cy="361315"/>
                <wp:effectExtent l="0" t="0" r="635" b="635"/>
                <wp:wrapNone/>
                <wp:docPr id="1096" name="テキスト ボックス 19"/>
                <a:graphic xmlns:a="http://schemas.openxmlformats.org/drawingml/2006/main">
                  <a:graphicData uri="http://schemas.microsoft.com/office/word/2010/wordprocessingShape">
                    <wps:wsp>
                      <wps:cNvPr id="1096" name="テキスト ボックス 19"/>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4"/>
                              </w:rPr>
                            </w:pPr>
                            <w:r>
                              <w:rPr>
                                <w:rFonts w:hint="eastAsia" w:ascii="ＭＳ ゴシック" w:hAnsi="ＭＳ ゴシック" w:eastAsia="ＭＳ ゴシック"/>
                                <w:sz w:val="14"/>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mso-wrap-distance-right:9pt;mso-wrap-distance-bottom:0pt;margin-top:18pt;mso-position-vertical-relative:text;mso-position-horizontal-relative:text;v-text-anchor:top;position:absolute;height:28.45pt;mso-wrap-distance-top:0pt;width:84.85pt;mso-wrap-distance-left:9pt;margin-left:429.8pt;z-index:61;" o:spid="_x0000_s1096"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4"/>
                        </w:rPr>
                      </w:pPr>
                      <w:r>
                        <w:rPr>
                          <w:rFonts w:hint="eastAsia" w:ascii="ＭＳ ゴシック" w:hAnsi="ＭＳ ゴシック" w:eastAsia="ＭＳ ゴシック"/>
                          <w:sz w:val="14"/>
                        </w:rPr>
                        <w:t>（複数回答）</w:t>
                      </w:r>
                    </w:p>
                  </w:txbxContent>
                </v:textbox>
                <v:imagedata o:title=""/>
                <w10:wrap type="none" anchorx="text" anchory="text"/>
              </v:shape>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2</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職員の離職防止や定着促進を図るための方策とその効果</w:t>
      </w:r>
    </w:p>
    <w:p>
      <w:pPr>
        <w:pStyle w:val="0"/>
        <w:jc w:val="center"/>
        <w:rPr>
          <w:rFonts w:hint="default"/>
        </w:rPr>
      </w:pPr>
      <w:r>
        <w:rPr>
          <w:rFonts w:hint="default"/>
        </w:rPr>
        <w:drawing>
          <wp:anchor distT="0" distB="0" distL="114300" distR="114300" simplePos="0" relativeHeight="60" behindDoc="0" locked="0" layoutInCell="1" hidden="0" allowOverlap="1">
            <wp:simplePos x="0" y="0"/>
            <wp:positionH relativeFrom="column">
              <wp:posOffset>-190500</wp:posOffset>
            </wp:positionH>
            <wp:positionV relativeFrom="paragraph">
              <wp:posOffset>77470</wp:posOffset>
            </wp:positionV>
            <wp:extent cx="6635115" cy="6551295"/>
            <wp:effectExtent l="0" t="0" r="0" b="0"/>
            <wp:wrapNone/>
            <wp:docPr id="1097" name="Picture 1"/>
            <a:graphic xmlns:a="http://schemas.openxmlformats.org/drawingml/2006/main">
              <a:graphicData uri="http://schemas.openxmlformats.org/drawingml/2006/picture">
                <pic:pic xmlns:pic="http://schemas.openxmlformats.org/drawingml/2006/picture">
                  <pic:nvPicPr>
                    <pic:cNvPr id="1097" name="Picture 1"/>
                    <pic:cNvPicPr>
                      <a:picLocks noChangeAspect="1" noChangeArrowheads="1"/>
                    </pic:cNvPicPr>
                  </pic:nvPicPr>
                  <pic:blipFill>
                    <a:blip r:embed="rId58"/>
                    <a:srcRect l="4465" r="42590"/>
                    <a:stretch>
                      <a:fillRect/>
                    </a:stretch>
                  </pic:blipFill>
                  <pic:spPr>
                    <a:xfrm>
                      <a:off x="0" y="0"/>
                      <a:ext cx="6635115" cy="655129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u w:val="single" w:color="auto"/>
        </w:rPr>
      </w:pPr>
      <w:r>
        <w:rPr>
          <w:rFonts w:hint="eastAsia" w:ascii="ＭＳ ゴシック" w:hAnsi="ＭＳ ゴシック" w:eastAsia="ＭＳ ゴシック"/>
        </w:rPr>
        <w:t>■</w:t>
      </w:r>
      <w:r>
        <w:rPr>
          <w:rFonts w:hint="eastAsia" w:ascii="ＭＳ ゴシック" w:hAnsi="ＭＳ ゴシック" w:eastAsia="ＭＳ ゴシック"/>
          <w:u w:val="single" w:color="auto"/>
        </w:rPr>
        <w:t>サービスの質の向上や業務改善のための取組の傾向について</w:t>
      </w:r>
    </w:p>
    <w:p>
      <w:pPr>
        <w:pStyle w:val="0"/>
        <w:ind w:firstLine="240" w:firstLineChars="100"/>
        <w:jc w:val="both"/>
        <w:rPr>
          <w:rFonts w:hint="default"/>
        </w:rPr>
      </w:pPr>
      <w:r>
        <w:rPr>
          <w:rFonts w:hint="eastAsia"/>
        </w:rPr>
        <w:t>サービスの質の向上や業務改善のための取組として実施していることについては、「事故防止のためにヒヤリハット</w:t>
      </w:r>
      <w:r>
        <w:rPr>
          <w:rFonts w:hint="eastAsia"/>
          <w:vertAlign w:val="superscript"/>
        </w:rPr>
        <w:t>※</w:t>
      </w:r>
      <w:r>
        <w:rPr>
          <w:rStyle w:val="42"/>
          <w:rFonts w:hint="eastAsia"/>
        </w:rPr>
        <w:footnoteReference w:id="3"/>
      </w:r>
      <w:r>
        <w:rPr>
          <w:rFonts w:hint="eastAsia"/>
        </w:rPr>
        <w:t>事例の収集・共有を図り、再発防止のための検証分析を行っている」が</w:t>
      </w:r>
      <w:r>
        <w:rPr>
          <w:rFonts w:hint="eastAsia"/>
        </w:rPr>
        <w:t>89.5</w:t>
      </w:r>
      <w:r>
        <w:rPr>
          <w:rFonts w:hint="eastAsia"/>
        </w:rPr>
        <w:t>％で最も多くなっています。</w:t>
      </w:r>
    </w:p>
    <w:p>
      <w:pPr>
        <w:pStyle w:val="0"/>
        <w:ind w:firstLine="240" w:firstLineChars="100"/>
        <w:jc w:val="both"/>
        <w:rPr>
          <w:rFonts w:hint="default"/>
        </w:rPr>
      </w:pPr>
      <w:r>
        <w:rPr>
          <w:rFonts w:hint="eastAsia"/>
        </w:rPr>
        <w:t>また、サービスの質の向上や業務改善のための取組として今後検討していることについては、「介護ロボットの導入やＩＣＴの活用を推進している」が</w:t>
      </w:r>
      <w:r>
        <w:rPr>
          <w:rFonts w:hint="eastAsia"/>
        </w:rPr>
        <w:t>36.8</w:t>
      </w:r>
      <w:r>
        <w:rPr>
          <w:rFonts w:hint="eastAsia"/>
        </w:rPr>
        <w:t>％で最も多くなっています。</w: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3</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サービスの質の向上や業務改善のための取組の傾向</w:t>
      </w:r>
    </w:p>
    <w:p>
      <w:pPr>
        <w:pStyle w:val="0"/>
        <w:jc w:val="center"/>
        <w:rPr>
          <w:rFonts w:hint="default"/>
        </w:rPr>
      </w:pPr>
      <w:r>
        <w:rPr>
          <w:rFonts w:hint="default"/>
        </w:rPr>
        <w:drawing>
          <wp:anchor distT="0" distB="0" distL="114300" distR="114300" simplePos="0" relativeHeight="62" behindDoc="0" locked="0" layoutInCell="1" hidden="0" allowOverlap="1">
            <wp:simplePos x="0" y="0"/>
            <wp:positionH relativeFrom="column">
              <wp:posOffset>0</wp:posOffset>
            </wp:positionH>
            <wp:positionV relativeFrom="paragraph">
              <wp:posOffset>71755</wp:posOffset>
            </wp:positionV>
            <wp:extent cx="6435725" cy="4730750"/>
            <wp:effectExtent l="0" t="0" r="0" b="0"/>
            <wp:wrapNone/>
            <wp:docPr id="1098" name="Picture 2"/>
            <a:graphic xmlns:a="http://schemas.openxmlformats.org/drawingml/2006/main">
              <a:graphicData uri="http://schemas.openxmlformats.org/drawingml/2006/picture">
                <pic:pic xmlns:pic="http://schemas.openxmlformats.org/drawingml/2006/picture">
                  <pic:nvPicPr>
                    <pic:cNvPr id="1098" name="Picture 2"/>
                    <pic:cNvPicPr>
                      <a:picLocks noChangeAspect="1" noChangeArrowheads="1"/>
                    </pic:cNvPicPr>
                  </pic:nvPicPr>
                  <pic:blipFill>
                    <a:blip r:embed="rId59"/>
                    <a:srcRect l="3542" r="42438" b="24132"/>
                    <a:stretch>
                      <a:fillRect/>
                    </a:stretch>
                  </pic:blipFill>
                  <pic:spPr>
                    <a:xfrm>
                      <a:off x="0" y="0"/>
                      <a:ext cx="6435725" cy="4730750"/>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63" behindDoc="0" locked="0" layoutInCell="1" hidden="0" allowOverlap="1">
                <wp:simplePos x="0" y="0"/>
                <wp:positionH relativeFrom="column">
                  <wp:posOffset>5461000</wp:posOffset>
                </wp:positionH>
                <wp:positionV relativeFrom="paragraph">
                  <wp:posOffset>0</wp:posOffset>
                </wp:positionV>
                <wp:extent cx="1077595" cy="361315"/>
                <wp:effectExtent l="0" t="0" r="635" b="635"/>
                <wp:wrapNone/>
                <wp:docPr id="1099" name="テキスト ボックス 20"/>
                <a:graphic xmlns:a="http://schemas.openxmlformats.org/drawingml/2006/main">
                  <a:graphicData uri="http://schemas.microsoft.com/office/word/2010/wordprocessingShape">
                    <wps:wsp>
                      <wps:cNvPr id="1099" name="テキスト ボックス 20"/>
                      <wps:cNvSpPr txBox="1"/>
                      <wps:spPr>
                        <a:xfrm>
                          <a:off x="0" y="0"/>
                          <a:ext cx="1077595" cy="361315"/>
                        </a:xfrm>
                        <a:prstGeom prst="rect">
                          <a:avLst/>
                        </a:prstGeom>
                        <a:noFill/>
                        <a:ln w="6350">
                          <a:noFill/>
                        </a:ln>
                      </wps:spPr>
                      <wps:txbx>
                        <w:txbxContent>
                          <w:p>
                            <w:pPr>
                              <w:pStyle w:val="0"/>
                              <w:rPr>
                                <w:rFonts w:hint="default" w:ascii="ＭＳ ゴシック" w:hAnsi="ＭＳ ゴシック" w:eastAsia="ＭＳ ゴシック"/>
                                <w:sz w:val="14"/>
                              </w:rPr>
                            </w:pPr>
                            <w:r>
                              <w:rPr>
                                <w:rFonts w:hint="eastAsia" w:ascii="ＭＳ ゴシック" w:hAnsi="ＭＳ ゴシック" w:eastAsia="ＭＳ ゴシック"/>
                                <w:sz w:val="14"/>
                              </w:rPr>
                              <w:t>（複数回答）</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0pt;mso-position-vertical-relative:text;mso-position-horizontal-relative:text;v-text-anchor:top;position:absolute;height:28.45pt;mso-wrap-distance-top:0pt;width:84.85pt;mso-wrap-distance-left:9pt;margin-left:430pt;z-index:63;" o:spid="_x0000_s1099" o:allowincell="t" o:allowoverlap="t" filled="f" stroked="f" strokeweight="0.5pt" o:spt="202" type="#_x0000_t202">
                <v:fill/>
                <v:textbox style="layout-flow:horizontal;">
                  <w:txbxContent>
                    <w:p>
                      <w:pPr>
                        <w:pStyle w:val="0"/>
                        <w:rPr>
                          <w:rFonts w:hint="default" w:ascii="ＭＳ ゴシック" w:hAnsi="ＭＳ ゴシック" w:eastAsia="ＭＳ ゴシック"/>
                          <w:sz w:val="14"/>
                        </w:rPr>
                      </w:pPr>
                      <w:r>
                        <w:rPr>
                          <w:rFonts w:hint="eastAsia" w:ascii="ＭＳ ゴシック" w:hAnsi="ＭＳ ゴシック" w:eastAsia="ＭＳ ゴシック"/>
                          <w:sz w:val="14"/>
                        </w:rPr>
                        <w:t>（複数回答）</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tbl>
      <w:tblPr>
        <w:tblStyle w:val="60"/>
        <w:tblW w:w="9716" w:type="dxa"/>
        <w:tblInd w:w="0" w:type="dxa"/>
        <w:tblLayout w:type="fixed"/>
        <w:tblLook w:firstRow="1" w:lastRow="0" w:firstColumn="1" w:lastColumn="0" w:noHBand="0" w:noVBand="1" w:val="04A0"/>
      </w:tblPr>
      <w:tblGrid>
        <w:gridCol w:w="9716"/>
      </w:tblGrid>
      <w:tr>
        <w:trPr/>
        <w:tc>
          <w:tcPr>
            <w:tcW w:w="971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③介護予防・日常生活支援総合事業を提供する事業者へのアンケート調査</w:t>
            </w:r>
          </w:p>
          <w:p>
            <w:pPr>
              <w:pStyle w:val="0"/>
              <w:rPr>
                <w:rFonts w:hint="default" w:ascii="ＭＳ 明朝" w:hAnsi="ＭＳ 明朝" w:eastAsia="ＭＳ 明朝"/>
                <w:color w:val="000000" w:themeColor="text1"/>
                <w:sz w:val="24"/>
              </w:rPr>
            </w:pPr>
            <w:r>
              <w:rPr>
                <w:rFonts w:hint="eastAsia" w:ascii="ＭＳ 明朝" w:hAnsi="ＭＳ 明朝" w:eastAsia="ＭＳ 明朝"/>
                <w:sz w:val="24"/>
              </w:rPr>
              <w:t>　□調査期間：令和２</w:t>
            </w:r>
            <w:r>
              <w:rPr>
                <w:rFonts w:hint="default" w:ascii="ＭＳ 明朝" w:hAnsi="ＭＳ 明朝" w:eastAsia="ＭＳ 明朝"/>
                <w:sz w:val="24"/>
              </w:rPr>
              <w:t>年</w:t>
            </w:r>
            <w:r>
              <w:rPr>
                <w:rFonts w:hint="eastAsia" w:ascii="ＭＳ 明朝" w:hAnsi="ＭＳ 明朝" w:eastAsia="ＭＳ 明朝"/>
                <w:sz w:val="24"/>
              </w:rPr>
              <w:t>(2020</w:t>
            </w:r>
            <w:r>
              <w:rPr>
                <w:rFonts w:hint="eastAsia" w:ascii="ＭＳ 明朝" w:hAnsi="ＭＳ 明朝" w:eastAsia="ＭＳ 明朝"/>
                <w:sz w:val="24"/>
              </w:rPr>
              <w:t>年</w:t>
            </w:r>
            <w:r>
              <w:rPr>
                <w:rFonts w:hint="eastAsia" w:ascii="ＭＳ 明朝" w:hAnsi="ＭＳ 明朝" w:eastAsia="ＭＳ 明朝"/>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17</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r>
              <w:rPr>
                <w:rFonts w:hint="default" w:ascii="ＭＳ 明朝" w:hAnsi="ＭＳ 明朝" w:eastAsia="ＭＳ 明朝"/>
                <w:color w:val="000000" w:themeColor="text1"/>
                <w:sz w:val="24"/>
              </w:rPr>
              <w:t>～</w:t>
            </w:r>
            <w:r>
              <w:rPr>
                <w:rFonts w:hint="eastAsia" w:ascii="ＭＳ 明朝" w:hAnsi="ＭＳ 明朝" w:eastAsia="ＭＳ 明朝"/>
                <w:color w:val="000000" w:themeColor="text1"/>
                <w:sz w:val="24"/>
              </w:rPr>
              <w:t>７</w:t>
            </w:r>
            <w:r>
              <w:rPr>
                <w:rFonts w:hint="default" w:ascii="ＭＳ 明朝" w:hAnsi="ＭＳ 明朝" w:eastAsia="ＭＳ 明朝"/>
                <w:color w:val="000000" w:themeColor="text1"/>
                <w:sz w:val="24"/>
              </w:rPr>
              <w:t>月</w:t>
            </w:r>
            <w:r>
              <w:rPr>
                <w:rFonts w:hint="eastAsia" w:ascii="ＭＳ 明朝" w:hAnsi="ＭＳ 明朝" w:eastAsia="ＭＳ 明朝"/>
                <w:color w:val="000000" w:themeColor="text1"/>
                <w:sz w:val="24"/>
              </w:rPr>
              <w:t>31</w:t>
            </w:r>
            <w:r>
              <w:rPr>
                <w:rFonts w:hint="default" w:ascii="ＭＳ 明朝" w:hAnsi="ＭＳ 明朝" w:eastAsia="ＭＳ 明朝"/>
                <w:color w:val="000000" w:themeColor="text1"/>
                <w:sz w:val="24"/>
              </w:rPr>
              <w:t>日</w:t>
            </w:r>
            <w:r>
              <w:rPr>
                <w:rFonts w:hint="eastAsia" w:ascii="ＭＳ 明朝" w:hAnsi="ＭＳ 明朝" w:eastAsia="ＭＳ 明朝"/>
                <w:color w:val="000000" w:themeColor="text1"/>
                <w:sz w:val="24"/>
              </w:rPr>
              <w:t>（金）</w:t>
            </w:r>
          </w:p>
          <w:p>
            <w:pPr>
              <w:pStyle w:val="0"/>
              <w:rPr>
                <w:rFonts w:hint="default" w:ascii="ＭＳ 明朝" w:hAnsi="ＭＳ 明朝" w:eastAsia="ＭＳ 明朝"/>
                <w:sz w:val="24"/>
              </w:rPr>
            </w:pPr>
            <w:r>
              <w:rPr>
                <w:rFonts w:hint="eastAsia" w:ascii="ＭＳ 明朝" w:hAnsi="ＭＳ 明朝" w:eastAsia="ＭＳ 明朝"/>
                <w:color w:val="000000" w:themeColor="text1"/>
                <w:sz w:val="24"/>
              </w:rPr>
              <w:t>　</w:t>
            </w:r>
            <w:r>
              <w:rPr>
                <w:rFonts w:hint="eastAsia" w:ascii="ＭＳ 明朝" w:hAnsi="ＭＳ 明朝" w:eastAsia="ＭＳ 明朝"/>
                <w:sz w:val="24"/>
              </w:rPr>
              <w:t>□調査対象団体：訪問型事業者　</w:t>
            </w:r>
            <w:r>
              <w:rPr>
                <w:rFonts w:hint="eastAsia" w:ascii="ＭＳ 明朝" w:hAnsi="ＭＳ 明朝" w:eastAsia="ＭＳ 明朝"/>
                <w:sz w:val="24"/>
              </w:rPr>
              <w:t>34</w:t>
            </w:r>
            <w:r>
              <w:rPr>
                <w:rFonts w:hint="eastAsia" w:ascii="ＭＳ 明朝" w:hAnsi="ＭＳ 明朝" w:eastAsia="ＭＳ 明朝"/>
                <w:sz w:val="24"/>
              </w:rPr>
              <w:t>か所（緩和型）</w:t>
            </w:r>
          </w:p>
          <w:p>
            <w:pPr>
              <w:pStyle w:val="0"/>
              <w:ind w:firstLine="2160" w:firstLineChars="900"/>
              <w:rPr>
                <w:rFonts w:hint="default" w:ascii="ＭＳ 明朝" w:hAnsi="ＭＳ 明朝" w:eastAsia="ＭＳ 明朝"/>
                <w:sz w:val="24"/>
              </w:rPr>
            </w:pPr>
            <w:r>
              <w:rPr>
                <w:rFonts w:hint="eastAsia" w:ascii="ＭＳ 明朝" w:hAnsi="ＭＳ 明朝" w:eastAsia="ＭＳ 明朝"/>
                <w:sz w:val="24"/>
              </w:rPr>
              <w:t>通所型事業者　</w:t>
            </w:r>
            <w:r>
              <w:rPr>
                <w:rFonts w:hint="eastAsia" w:ascii="ＭＳ 明朝" w:hAnsi="ＭＳ 明朝" w:eastAsia="ＭＳ 明朝"/>
                <w:sz w:val="24"/>
              </w:rPr>
              <w:t>23</w:t>
            </w:r>
            <w:r>
              <w:rPr>
                <w:rFonts w:hint="eastAsia" w:ascii="ＭＳ 明朝" w:hAnsi="ＭＳ 明朝" w:eastAsia="ＭＳ 明朝"/>
                <w:sz w:val="24"/>
              </w:rPr>
              <w:t>か所（緩和型）、１か所（短期集中型）</w:t>
            </w:r>
          </w:p>
          <w:p>
            <w:pPr>
              <w:pStyle w:val="0"/>
              <w:ind w:firstLine="240" w:firstLineChars="100"/>
              <w:rPr>
                <w:rFonts w:hint="default" w:ascii="ＭＳ 明朝" w:hAnsi="ＭＳ 明朝" w:eastAsia="ＭＳ 明朝"/>
                <w:sz w:val="24"/>
              </w:rPr>
            </w:pPr>
            <w:r>
              <w:rPr>
                <w:rFonts w:hint="eastAsia" w:ascii="ＭＳ 明朝" w:hAnsi="ＭＳ 明朝" w:eastAsia="ＭＳ 明朝"/>
                <w:sz w:val="24"/>
              </w:rPr>
              <w:t>□回収状況：</w:t>
            </w:r>
            <w:r>
              <w:rPr>
                <w:rFonts w:hint="eastAsia" w:ascii="ＭＳ 明朝" w:hAnsi="ＭＳ 明朝" w:eastAsia="ＭＳ 明朝"/>
                <w:sz w:val="24"/>
              </w:rPr>
              <w:t>13</w:t>
            </w:r>
            <w:r>
              <w:rPr>
                <w:rFonts w:hint="eastAsia" w:ascii="ＭＳ 明朝" w:hAnsi="ＭＳ 明朝" w:eastAsia="ＭＳ 明朝"/>
                <w:sz w:val="24"/>
              </w:rPr>
              <w:t>件</w:t>
            </w:r>
          </w:p>
        </w:tc>
      </w:tr>
    </w:tbl>
    <w:p>
      <w:pPr>
        <w:pStyle w:val="0"/>
        <w:rPr>
          <w:rFonts w:hint="default"/>
        </w:rPr>
      </w:pPr>
    </w:p>
    <w:p>
      <w:pPr>
        <w:pStyle w:val="0"/>
        <w:jc w:val="both"/>
        <w:rPr>
          <w:rFonts w:hint="default"/>
        </w:rPr>
      </w:pPr>
      <w:r>
        <w:rPr>
          <w:rFonts w:hint="eastAsia"/>
        </w:rPr>
        <w:t>　本市では、総合事業の実施により、高齢者が住み慣れた地域で自分らしい生活を続けるための支援や身体状態の改善など、本来介護保険制度がめざしてきた「自立支援」の推進を図っています。本市の総合事業は、高齢者の自立支援や身体状態の改善・機能回復等のために機能していると思うかという問いについては、「そう思う」が</w:t>
      </w:r>
      <w:r>
        <w:rPr>
          <w:rFonts w:hint="eastAsia"/>
        </w:rPr>
        <w:t>69.2</w:t>
      </w:r>
      <w:r>
        <w:rPr>
          <w:rFonts w:hint="eastAsia"/>
        </w:rPr>
        <w:t>％で最も多く、次いで「どちらでもない」が</w:t>
      </w:r>
      <w:r>
        <w:rPr>
          <w:rFonts w:hint="eastAsia"/>
        </w:rPr>
        <w:t>23.1</w:t>
      </w:r>
      <w:r>
        <w:rPr>
          <w:rFonts w:hint="eastAsia"/>
        </w:rPr>
        <w:t>％となっています。</w: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4</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高齢者の自立支援や身体状態の改善・機能回復等のために機能している</w:t>
      </w:r>
    </w:p>
    <w:p>
      <w:pPr>
        <w:pStyle w:val="0"/>
        <w:jc w:val="center"/>
        <w:rPr>
          <w:rFonts w:hint="default"/>
        </w:rPr>
      </w:pPr>
      <w:r>
        <w:rPr>
          <w:rFonts w:hint="default"/>
        </w:rPr>
        <w:drawing>
          <wp:inline distT="0" distB="0" distL="0" distR="0">
            <wp:extent cx="5469255" cy="1423035"/>
            <wp:effectExtent l="0" t="0" r="0" b="0"/>
            <wp:docPr id="1100" name="Picture 25"/>
            <a:graphic xmlns:a="http://schemas.openxmlformats.org/drawingml/2006/main">
              <a:graphicData uri="http://schemas.openxmlformats.org/drawingml/2006/picture">
                <pic:pic xmlns:pic="http://schemas.openxmlformats.org/drawingml/2006/picture">
                  <pic:nvPicPr>
                    <pic:cNvPr id="1100" name="Picture 25"/>
                    <pic:cNvPicPr>
                      <a:picLocks noChangeAspect="1" noChangeArrowheads="1"/>
                    </pic:cNvPicPr>
                  </pic:nvPicPr>
                  <pic:blipFill>
                    <a:blip r:embed="rId60"/>
                    <a:srcRect b="68509"/>
                    <a:stretch>
                      <a:fillRect/>
                    </a:stretch>
                  </pic:blipFill>
                  <pic:spPr>
                    <a:xfrm>
                      <a:off x="0" y="0"/>
                      <a:ext cx="5469255" cy="1423035"/>
                    </a:xfrm>
                    <a:prstGeom prst="rect">
                      <a:avLst/>
                    </a:prstGeom>
                    <a:noFill/>
                    <a:ln>
                      <a:noFill/>
                    </a:ln>
                  </pic:spPr>
                </pic:pic>
              </a:graphicData>
            </a:graphic>
          </wp:inline>
        </w:drawing>
      </w:r>
    </w:p>
    <w:p>
      <w:pPr>
        <w:pStyle w:val="0"/>
        <w:rPr>
          <w:rFonts w:hint="default"/>
        </w:rPr>
      </w:pPr>
    </w:p>
    <w:p>
      <w:pPr>
        <w:pStyle w:val="0"/>
        <w:ind w:firstLine="240" w:firstLineChars="100"/>
        <w:jc w:val="both"/>
        <w:rPr>
          <w:rFonts w:hint="default"/>
        </w:rPr>
      </w:pPr>
      <w:r>
        <w:rPr>
          <w:rFonts w:hint="eastAsia"/>
        </w:rPr>
        <w:t>また、本市では、総合事業の推進にあたり、市医療職を含む多職種参加の「自立支援型個別会議」等において、自立支援に資するケアプランの検討を進めてきましたが、この取組は、高齢者の自立支援や身体状態の改善・機能回復等のために有効な手立てとなっていると思うかについては、「そう思う」が</w:t>
      </w:r>
      <w:r>
        <w:rPr>
          <w:rFonts w:hint="eastAsia"/>
        </w:rPr>
        <w:t>53.8</w:t>
      </w:r>
      <w:r>
        <w:rPr>
          <w:rFonts w:hint="eastAsia"/>
        </w:rPr>
        <w:t>％で最も多く、次いで「どちらでもない」が</w:t>
      </w:r>
      <w:r>
        <w:rPr>
          <w:rFonts w:hint="eastAsia"/>
        </w:rPr>
        <w:t>38.5</w:t>
      </w:r>
      <w:r>
        <w:rPr>
          <w:rFonts w:hint="eastAsia"/>
        </w:rPr>
        <w:t>％となっています。</w: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5</w:t>
      </w:r>
      <w:r>
        <w:rPr>
          <w:rFonts w:hint="eastAsia" w:ascii="ＭＳ ゴシック" w:hAnsi="ＭＳ ゴシック" w:eastAsia="ＭＳ ゴシック"/>
          <w:sz w:val="21"/>
        </w:rPr>
        <w:t>：</w:t>
      </w:r>
      <w:r>
        <w:rPr>
          <w:rFonts w:hint="default" w:ascii="ＭＳ ゴシック" w:hAnsi="ＭＳ ゴシック" w:eastAsia="ＭＳ ゴシック"/>
          <w:sz w:val="21"/>
        </w:rPr>
        <w:t xml:space="preserve"> </w:t>
      </w:r>
      <w:r>
        <w:rPr>
          <w:rFonts w:hint="eastAsia" w:ascii="ＭＳ ゴシック" w:hAnsi="ＭＳ ゴシック" w:eastAsia="ＭＳ ゴシック"/>
          <w:sz w:val="21"/>
        </w:rPr>
        <w:t>高齢者の自立支援や身体状態の改善・機能回復等のために有効な手立てとなっている</w:t>
      </w:r>
    </w:p>
    <w:p>
      <w:pPr>
        <w:pStyle w:val="0"/>
        <w:jc w:val="center"/>
        <w:rPr>
          <w:rFonts w:hint="default"/>
        </w:rPr>
      </w:pPr>
      <w:r>
        <w:rPr>
          <w:rFonts w:hint="default"/>
        </w:rPr>
        <w:drawing>
          <wp:inline distT="0" distB="0" distL="0" distR="0">
            <wp:extent cx="5503545" cy="1397000"/>
            <wp:effectExtent l="0" t="0" r="0" b="0"/>
            <wp:docPr id="1101" name="Picture 27"/>
            <a:graphic xmlns:a="http://schemas.openxmlformats.org/drawingml/2006/main">
              <a:graphicData uri="http://schemas.openxmlformats.org/drawingml/2006/picture">
                <pic:pic xmlns:pic="http://schemas.openxmlformats.org/drawingml/2006/picture">
                  <pic:nvPicPr>
                    <pic:cNvPr id="1101" name="Picture 27"/>
                    <pic:cNvPicPr>
                      <a:picLocks noChangeAspect="1" noChangeArrowheads="1"/>
                    </pic:cNvPicPr>
                  </pic:nvPicPr>
                  <pic:blipFill>
                    <a:blip r:embed="rId61"/>
                    <a:srcRect b="69832"/>
                    <a:stretch>
                      <a:fillRect/>
                    </a:stretch>
                  </pic:blipFill>
                  <pic:spPr>
                    <a:xfrm>
                      <a:off x="0" y="0"/>
                      <a:ext cx="5503545" cy="1397000"/>
                    </a:xfrm>
                    <a:prstGeom prst="rect">
                      <a:avLst/>
                    </a:prstGeom>
                    <a:noFill/>
                    <a:ln>
                      <a:noFill/>
                    </a:ln>
                  </pic:spPr>
                </pic:pic>
              </a:graphicData>
            </a:graphic>
          </wp:inline>
        </w:drawing>
      </w:r>
    </w:p>
    <w:p>
      <w:pPr>
        <w:pStyle w:val="0"/>
        <w:rPr>
          <w:rFonts w:hint="default"/>
        </w:rPr>
      </w:pPr>
    </w:p>
    <w:p>
      <w:pPr>
        <w:rPr>
          <w:rFonts w:hint="default" w:ascii="メイリオ" w:hAnsi="メイリオ" w:eastAsia="メイリオ"/>
          <w:b w:val="1"/>
          <w:sz w:val="32"/>
          <w:u w:val="single" w:color="auto"/>
        </w:rPr>
        <w:sectPr>
          <w:pgSz w:w="11906" w:h="16838"/>
          <w:pgMar w:top="1440" w:right="1080" w:bottom="1440" w:left="1080" w:header="851" w:footer="454" w:gutter="0"/>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36" w:name="_Toc59007767"/>
      <w:r>
        <w:rPr>
          <w:rFonts w:hint="eastAsia" w:ascii="メイリオ" w:hAnsi="メイリオ" w:eastAsia="メイリオ"/>
          <w:b w:val="1"/>
          <w:sz w:val="32"/>
          <w:u w:val="single" w:color="auto"/>
        </w:rPr>
        <w:t>３．第７期計画の進捗状況</w:t>
      </w:r>
      <w:bookmarkEnd w:id="36"/>
      <w:r>
        <w:rPr>
          <w:rFonts w:hint="eastAsia" w:ascii="メイリオ" w:hAnsi="メイリオ" w:eastAsia="メイリオ"/>
          <w:b w:val="1"/>
          <w:sz w:val="32"/>
          <w:u w:val="single" w:color="auto"/>
        </w:rPr>
        <w:t>　　　　　　　　　　　　　　　　　　　　　　</w:t>
      </w:r>
    </w:p>
    <w:p>
      <w:pPr>
        <w:pStyle w:val="4"/>
        <w:ind w:left="0" w:leftChars="0"/>
        <w:rPr>
          <w:rFonts w:hint="default" w:ascii="メイリオ" w:hAnsi="メイリオ" w:eastAsia="メイリオ"/>
          <w:b w:val="0"/>
          <w:sz w:val="28"/>
        </w:rPr>
      </w:pPr>
      <w:bookmarkStart w:id="37" w:name="_Toc59007768"/>
      <w:r>
        <w:rPr>
          <w:rFonts w:hint="eastAsia" w:ascii="メイリオ" w:hAnsi="メイリオ" w:eastAsia="メイリオ"/>
          <w:b w:val="0"/>
          <w:sz w:val="28"/>
        </w:rPr>
        <w:t>（１）介護保険サービスの状況</w:t>
      </w:r>
      <w:bookmarkEnd w:id="37"/>
    </w:p>
    <w:p>
      <w:pPr>
        <w:pStyle w:val="5"/>
        <w:ind w:left="0" w:leftChars="0" w:firstLine="240" w:firstLineChars="100"/>
        <w:jc w:val="both"/>
        <w:rPr>
          <w:rFonts w:hint="default" w:ascii="ＭＳ ゴシック" w:hAnsi="ＭＳ ゴシック" w:eastAsia="ＭＳ ゴシック"/>
        </w:rPr>
      </w:pPr>
      <w:bookmarkStart w:id="38" w:name="_Toc59007769"/>
      <w:r>
        <w:rPr>
          <w:rFonts w:hint="eastAsia" w:ascii="ＭＳ ゴシック" w:hAnsi="ＭＳ ゴシック" w:eastAsia="ＭＳ ゴシック"/>
        </w:rPr>
        <w:t>ア）サービスの利用状況及び給付額の状況</w:t>
      </w:r>
      <w:bookmarkEnd w:id="38"/>
    </w:p>
    <w:p>
      <w:pPr>
        <w:pStyle w:val="0"/>
        <w:ind w:left="240" w:leftChars="100" w:firstLine="240" w:firstLineChars="100"/>
        <w:jc w:val="both"/>
        <w:rPr>
          <w:rFonts w:hint="default"/>
          <w:color w:val="000000" w:themeColor="text1"/>
        </w:rPr>
      </w:pPr>
      <w:r>
        <w:rPr>
          <w:rFonts w:hint="eastAsia"/>
          <w:color w:val="000000" w:themeColor="text1"/>
        </w:rPr>
        <w:t>本市におけるサービスの利用者割合をみると、平成</w:t>
      </w:r>
      <w:r>
        <w:rPr>
          <w:rFonts w:hint="eastAsia"/>
          <w:color w:val="000000" w:themeColor="text1"/>
        </w:rPr>
        <w:t>27</w:t>
      </w:r>
      <w:r>
        <w:rPr>
          <w:rFonts w:hint="default"/>
          <w:color w:val="000000" w:themeColor="text1"/>
        </w:rPr>
        <w:t>年度</w:t>
      </w:r>
      <w:r>
        <w:rPr>
          <w:rFonts w:hint="eastAsia"/>
          <w:color w:val="000000" w:themeColor="text1"/>
        </w:rPr>
        <w:t>(</w:t>
      </w:r>
      <w:r>
        <w:rPr>
          <w:rFonts w:hint="default"/>
          <w:color w:val="000000" w:themeColor="text1"/>
        </w:rPr>
        <w:t>2015</w:t>
      </w:r>
      <w:r>
        <w:rPr>
          <w:rFonts w:hint="eastAsia"/>
          <w:color w:val="000000" w:themeColor="text1"/>
        </w:rPr>
        <w:t>年度</w:t>
      </w:r>
      <w:r>
        <w:rPr>
          <w:rFonts w:hint="default"/>
          <w:color w:val="000000" w:themeColor="text1"/>
        </w:rPr>
        <w:t>)</w:t>
      </w:r>
      <w:r>
        <w:rPr>
          <w:rFonts w:hint="default"/>
          <w:color w:val="000000" w:themeColor="text1"/>
        </w:rPr>
        <w:t>から</w:t>
      </w:r>
      <w:r>
        <w:rPr>
          <w:rFonts w:hint="eastAsia"/>
          <w:color w:val="000000" w:themeColor="text1"/>
        </w:rPr>
        <w:t>令和元</w:t>
      </w:r>
      <w:r>
        <w:rPr>
          <w:rFonts w:hint="default"/>
          <w:color w:val="000000" w:themeColor="text1"/>
        </w:rPr>
        <w:t>年度</w:t>
      </w:r>
      <w:r>
        <w:rPr>
          <w:rFonts w:hint="eastAsia"/>
          <w:color w:val="000000" w:themeColor="text1"/>
        </w:rPr>
        <w:t>(</w:t>
      </w:r>
      <w:r>
        <w:rPr>
          <w:rFonts w:hint="default"/>
          <w:color w:val="000000" w:themeColor="text1"/>
        </w:rPr>
        <w:t>20</w:t>
      </w:r>
      <w:r>
        <w:rPr>
          <w:rFonts w:hint="eastAsia"/>
          <w:color w:val="000000" w:themeColor="text1"/>
        </w:rPr>
        <w:t>19</w:t>
      </w:r>
      <w:r>
        <w:rPr>
          <w:rFonts w:hint="eastAsia"/>
          <w:color w:val="000000" w:themeColor="text1"/>
        </w:rPr>
        <w:t>年度</w:t>
      </w:r>
      <w:r>
        <w:rPr>
          <w:rFonts w:hint="default"/>
          <w:color w:val="000000" w:themeColor="text1"/>
        </w:rPr>
        <w:t>)</w:t>
      </w:r>
      <w:r>
        <w:rPr>
          <w:rFonts w:hint="default"/>
          <w:color w:val="000000" w:themeColor="text1"/>
        </w:rPr>
        <w:t>までの</w:t>
      </w:r>
      <w:r>
        <w:rPr>
          <w:rFonts w:hint="eastAsia"/>
          <w:color w:val="000000" w:themeColor="text1"/>
        </w:rPr>
        <w:t>５年間で</w:t>
      </w:r>
      <w:r>
        <w:rPr>
          <w:rFonts w:hint="default"/>
          <w:color w:val="000000" w:themeColor="text1"/>
        </w:rPr>
        <w:t>、居宅サービスの利用者割合は</w:t>
      </w:r>
      <w:r>
        <w:rPr>
          <w:rFonts w:hint="eastAsia"/>
          <w:color w:val="000000" w:themeColor="text1"/>
        </w:rPr>
        <w:t>7.2</w:t>
      </w:r>
      <w:r>
        <w:rPr>
          <w:rFonts w:hint="default"/>
          <w:color w:val="000000" w:themeColor="text1"/>
        </w:rPr>
        <w:t>ポイント減、地域密着型サービスの利用者割合が</w:t>
      </w:r>
      <w:r>
        <w:rPr>
          <w:rFonts w:hint="default"/>
          <w:color w:val="000000" w:themeColor="text1"/>
        </w:rPr>
        <w:t>7.1</w:t>
      </w:r>
      <w:r>
        <w:rPr>
          <w:rFonts w:hint="default"/>
          <w:color w:val="000000" w:themeColor="text1"/>
        </w:rPr>
        <w:t>ポイント増、施設サービスが</w:t>
      </w:r>
      <w:r>
        <w:rPr>
          <w:rFonts w:hint="eastAsia"/>
          <w:color w:val="000000" w:themeColor="text1"/>
        </w:rPr>
        <w:t>横ばい</w:t>
      </w:r>
      <w:r>
        <w:rPr>
          <w:rFonts w:hint="default"/>
          <w:color w:val="000000" w:themeColor="text1"/>
        </w:rPr>
        <w:t>となっており、サービスの給付額割合については、</w:t>
      </w:r>
      <w:r>
        <w:rPr>
          <w:rFonts w:hint="eastAsia"/>
          <w:color w:val="000000" w:themeColor="text1"/>
        </w:rPr>
        <w:t>平成</w:t>
      </w:r>
      <w:r>
        <w:rPr>
          <w:rFonts w:hint="eastAsia"/>
          <w:color w:val="000000" w:themeColor="text1"/>
        </w:rPr>
        <w:t>27</w:t>
      </w:r>
      <w:r>
        <w:rPr>
          <w:rFonts w:hint="default"/>
          <w:color w:val="000000" w:themeColor="text1"/>
        </w:rPr>
        <w:t>年度</w:t>
      </w:r>
      <w:r>
        <w:rPr>
          <w:rFonts w:hint="eastAsia"/>
          <w:color w:val="000000" w:themeColor="text1"/>
        </w:rPr>
        <w:t>(</w:t>
      </w:r>
      <w:r>
        <w:rPr>
          <w:rFonts w:hint="default"/>
          <w:color w:val="000000" w:themeColor="text1"/>
        </w:rPr>
        <w:t>2015</w:t>
      </w:r>
      <w:r>
        <w:rPr>
          <w:rFonts w:hint="eastAsia"/>
          <w:color w:val="000000" w:themeColor="text1"/>
        </w:rPr>
        <w:t>年度</w:t>
      </w:r>
      <w:r>
        <w:rPr>
          <w:rFonts w:hint="default"/>
          <w:color w:val="000000" w:themeColor="text1"/>
        </w:rPr>
        <w:t>)</w:t>
      </w:r>
      <w:r>
        <w:rPr>
          <w:rFonts w:hint="default"/>
          <w:color w:val="000000" w:themeColor="text1"/>
        </w:rPr>
        <w:t>から</w:t>
      </w:r>
      <w:r>
        <w:rPr>
          <w:rFonts w:hint="eastAsia"/>
          <w:color w:val="000000" w:themeColor="text1"/>
        </w:rPr>
        <w:t>令和元</w:t>
      </w:r>
      <w:r>
        <w:rPr>
          <w:rFonts w:hint="default"/>
          <w:color w:val="000000" w:themeColor="text1"/>
        </w:rPr>
        <w:t>年度</w:t>
      </w:r>
      <w:r>
        <w:rPr>
          <w:rFonts w:hint="eastAsia"/>
          <w:color w:val="000000" w:themeColor="text1"/>
        </w:rPr>
        <w:t>(</w:t>
      </w:r>
      <w:r>
        <w:rPr>
          <w:rFonts w:hint="default"/>
          <w:color w:val="000000" w:themeColor="text1"/>
        </w:rPr>
        <w:t>20</w:t>
      </w:r>
      <w:r>
        <w:rPr>
          <w:rFonts w:hint="eastAsia"/>
          <w:color w:val="000000" w:themeColor="text1"/>
        </w:rPr>
        <w:t>19</w:t>
      </w:r>
      <w:r>
        <w:rPr>
          <w:rFonts w:hint="eastAsia"/>
          <w:color w:val="000000" w:themeColor="text1"/>
        </w:rPr>
        <w:t>年度</w:t>
      </w:r>
      <w:r>
        <w:rPr>
          <w:rFonts w:hint="default"/>
          <w:color w:val="000000" w:themeColor="text1"/>
        </w:rPr>
        <w:t>)</w:t>
      </w:r>
      <w:r>
        <w:rPr>
          <w:rFonts w:hint="default"/>
          <w:color w:val="000000" w:themeColor="text1"/>
        </w:rPr>
        <w:t>までの</w:t>
      </w:r>
      <w:r>
        <w:rPr>
          <w:rFonts w:hint="eastAsia"/>
          <w:color w:val="000000" w:themeColor="text1"/>
        </w:rPr>
        <w:t>５年間で</w:t>
      </w:r>
      <w:r>
        <w:rPr>
          <w:rFonts w:hint="default"/>
          <w:color w:val="000000" w:themeColor="text1"/>
        </w:rPr>
        <w:t>、居宅サービスの利用者割合が</w:t>
      </w:r>
      <w:r>
        <w:rPr>
          <w:rFonts w:hint="eastAsia"/>
          <w:color w:val="000000" w:themeColor="text1"/>
        </w:rPr>
        <w:t>2</w:t>
      </w:r>
      <w:r>
        <w:rPr>
          <w:rFonts w:hint="default"/>
          <w:color w:val="000000" w:themeColor="text1"/>
        </w:rPr>
        <w:t>.9</w:t>
      </w:r>
      <w:r>
        <w:rPr>
          <w:rFonts w:hint="default"/>
          <w:color w:val="000000" w:themeColor="text1"/>
        </w:rPr>
        <w:t>ポイント</w:t>
      </w:r>
      <w:r>
        <w:rPr>
          <w:rFonts w:hint="eastAsia"/>
          <w:color w:val="000000" w:themeColor="text1"/>
        </w:rPr>
        <w:t>減</w:t>
      </w:r>
      <w:r>
        <w:rPr>
          <w:rFonts w:hint="default"/>
          <w:color w:val="000000" w:themeColor="text1"/>
        </w:rPr>
        <w:t>、地域密着型サービスの利用者割合が</w:t>
      </w:r>
      <w:r>
        <w:rPr>
          <w:rFonts w:hint="default"/>
          <w:color w:val="000000" w:themeColor="text1"/>
        </w:rPr>
        <w:t>3.0</w:t>
      </w:r>
      <w:r>
        <w:rPr>
          <w:rFonts w:hint="default"/>
          <w:color w:val="000000" w:themeColor="text1"/>
        </w:rPr>
        <w:t>ポイント増、施設サービスが</w:t>
      </w:r>
      <w:r>
        <w:rPr>
          <w:rFonts w:hint="eastAsia"/>
          <w:color w:val="000000" w:themeColor="text1"/>
        </w:rPr>
        <w:t>0</w:t>
      </w:r>
      <w:r>
        <w:rPr>
          <w:rFonts w:hint="default"/>
          <w:color w:val="000000" w:themeColor="text1"/>
        </w:rPr>
        <w:t>.1</w:t>
      </w:r>
      <w:r>
        <w:rPr>
          <w:rFonts w:hint="default"/>
          <w:color w:val="000000" w:themeColor="text1"/>
        </w:rPr>
        <w:t>ポイント減となっています。</w:t>
      </w:r>
    </w:p>
    <w:p>
      <w:pPr>
        <w:pStyle w:val="0"/>
        <w:ind w:left="240" w:hanging="240" w:hangingChars="100"/>
        <w:jc w:val="both"/>
        <w:rPr>
          <w:rFonts w:hint="default"/>
          <w:color w:val="000000" w:themeColor="text1"/>
        </w:rPr>
      </w:pPr>
      <w:r>
        <w:rPr>
          <w:rFonts w:hint="eastAsia"/>
          <w:color w:val="000000" w:themeColor="text1"/>
        </w:rPr>
        <w:t>　　また、サービスの利用者及び給付額の割合について、全国及び大阪府と比較すると、本市は全国と比べて居宅サービスの利用者が大きいものの給付額割合が小さく、大阪府に比べて施設サービスの利用者及び給付割合が大きくなっています。</w:t>
      </w:r>
    </w:p>
    <w:p>
      <w:pPr>
        <w:pStyle w:val="0"/>
        <w:ind w:left="240" w:hanging="240" w:hangingChars="100"/>
        <w:rPr>
          <w:rFonts w:hint="default"/>
        </w:rPr>
      </w:pPr>
    </w:p>
    <w:p>
      <w:pPr>
        <w:pStyle w:val="0"/>
        <w:ind w:firstLine="630" w:firstLineChars="300"/>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6</w:t>
      </w:r>
      <w:r>
        <w:rPr>
          <w:rFonts w:hint="eastAsia" w:ascii="ＭＳ ゴシック" w:hAnsi="ＭＳ ゴシック" w:eastAsia="ＭＳ ゴシック"/>
          <w:sz w:val="21"/>
        </w:rPr>
        <w:t>：サービスの利用者割合の推移　　　　　　　　図表</w:t>
      </w:r>
      <w:r>
        <w:rPr>
          <w:rFonts w:hint="eastAsia" w:ascii="ＭＳ ゴシック" w:hAnsi="ＭＳ ゴシック" w:eastAsia="ＭＳ ゴシック"/>
          <w:sz w:val="21"/>
        </w:rPr>
        <w:t>5</w:t>
      </w:r>
      <w:r>
        <w:rPr>
          <w:rFonts w:hint="default" w:ascii="ＭＳ ゴシック" w:hAnsi="ＭＳ ゴシック" w:eastAsia="ＭＳ ゴシック"/>
          <w:sz w:val="21"/>
        </w:rPr>
        <w:t>7</w:t>
      </w:r>
      <w:r>
        <w:rPr>
          <w:rFonts w:hint="eastAsia" w:ascii="ＭＳ ゴシック" w:hAnsi="ＭＳ ゴシック" w:eastAsia="ＭＳ ゴシック"/>
          <w:sz w:val="21"/>
        </w:rPr>
        <w:t>：サービスの給付額割合の推移</w:t>
      </w:r>
    </w:p>
    <w:p>
      <w:pPr>
        <w:pStyle w:val="0"/>
        <w:rPr>
          <w:rFonts w:hint="default"/>
        </w:rPr>
      </w:pPr>
      <w:r>
        <w:rPr>
          <w:rFonts w:hint="default"/>
        </w:rPr>
        <w:drawing>
          <wp:anchor distT="0" distB="0" distL="114300" distR="114300" simplePos="0" relativeHeight="33" behindDoc="1" locked="0" layoutInCell="1" hidden="0" allowOverlap="1">
            <wp:simplePos x="0" y="0"/>
            <wp:positionH relativeFrom="column">
              <wp:posOffset>3248025</wp:posOffset>
            </wp:positionH>
            <wp:positionV relativeFrom="paragraph">
              <wp:posOffset>20320</wp:posOffset>
            </wp:positionV>
            <wp:extent cx="3242945" cy="2487930"/>
            <wp:effectExtent l="0" t="0" r="0" b="0"/>
            <wp:wrapNone/>
            <wp:docPr id="1102" name="Picture 20"/>
            <a:graphic xmlns:a="http://schemas.openxmlformats.org/drawingml/2006/main">
              <a:graphicData uri="http://schemas.openxmlformats.org/drawingml/2006/picture">
                <pic:pic xmlns:pic="http://schemas.openxmlformats.org/drawingml/2006/picture">
                  <pic:nvPicPr>
                    <pic:cNvPr id="1102" name="Picture 20"/>
                    <pic:cNvPicPr>
                      <a:picLocks noChangeAspect="1" noChangeArrowheads="1"/>
                    </pic:cNvPicPr>
                  </pic:nvPicPr>
                  <pic:blipFill>
                    <a:blip r:embed="rId62"/>
                    <a:stretch>
                      <a:fillRect/>
                    </a:stretch>
                  </pic:blipFill>
                  <pic:spPr>
                    <a:xfrm>
                      <a:off x="0" y="0"/>
                      <a:ext cx="3242945" cy="2487930"/>
                    </a:xfrm>
                    <a:prstGeom prst="rect">
                      <a:avLst/>
                    </a:prstGeom>
                    <a:noFill/>
                    <a:ln>
                      <a:noFill/>
                    </a:ln>
                  </pic:spPr>
                </pic:pic>
              </a:graphicData>
            </a:graphic>
          </wp:anchor>
        </w:drawing>
      </w:r>
      <w:r>
        <w:rPr>
          <w:rFonts w:hint="default"/>
        </w:rPr>
        <w:drawing>
          <wp:anchor distT="0" distB="0" distL="114300" distR="114300" simplePos="0" relativeHeight="34" behindDoc="1" locked="0" layoutInCell="1" hidden="0" allowOverlap="1">
            <wp:simplePos x="0" y="0"/>
            <wp:positionH relativeFrom="column">
              <wp:posOffset>5080</wp:posOffset>
            </wp:positionH>
            <wp:positionV relativeFrom="paragraph">
              <wp:posOffset>10160</wp:posOffset>
            </wp:positionV>
            <wp:extent cx="3253740" cy="2498725"/>
            <wp:effectExtent l="0" t="0" r="0" b="0"/>
            <wp:wrapNone/>
            <wp:docPr id="1103" name="Picture 19"/>
            <a:graphic xmlns:a="http://schemas.openxmlformats.org/drawingml/2006/main">
              <a:graphicData uri="http://schemas.openxmlformats.org/drawingml/2006/picture">
                <pic:pic xmlns:pic="http://schemas.openxmlformats.org/drawingml/2006/picture">
                  <pic:nvPicPr>
                    <pic:cNvPr id="1103" name="Picture 19"/>
                    <pic:cNvPicPr>
                      <a:picLocks noChangeAspect="1" noChangeArrowheads="1"/>
                    </pic:cNvPicPr>
                  </pic:nvPicPr>
                  <pic:blipFill>
                    <a:blip r:embed="rId63"/>
                    <a:stretch>
                      <a:fillRect/>
                    </a:stretch>
                  </pic:blipFill>
                  <pic:spPr>
                    <a:xfrm>
                      <a:off x="0" y="0"/>
                      <a:ext cx="3253740" cy="249872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840" w:firstLineChars="400"/>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5</w:t>
      </w:r>
      <w:r>
        <w:rPr>
          <w:rFonts w:hint="default" w:ascii="ＭＳ ゴシック" w:hAnsi="ＭＳ ゴシック" w:eastAsia="ＭＳ ゴシック"/>
          <w:sz w:val="21"/>
        </w:rPr>
        <w:t>8</w:t>
      </w:r>
      <w:r>
        <w:rPr>
          <w:rFonts w:hint="eastAsia" w:ascii="ＭＳ ゴシック" w:hAnsi="ＭＳ ゴシック" w:eastAsia="ＭＳ ゴシック"/>
          <w:sz w:val="21"/>
        </w:rPr>
        <w:t>：サービスの利用者割合　　　　　　　　　　　図表</w:t>
      </w:r>
      <w:r>
        <w:rPr>
          <w:rFonts w:hint="eastAsia" w:ascii="ＭＳ ゴシック" w:hAnsi="ＭＳ ゴシック" w:eastAsia="ＭＳ ゴシック"/>
          <w:sz w:val="21"/>
        </w:rPr>
        <w:t>5</w:t>
      </w:r>
      <w:r>
        <w:rPr>
          <w:rFonts w:hint="default" w:ascii="ＭＳ ゴシック" w:hAnsi="ＭＳ ゴシック" w:eastAsia="ＭＳ ゴシック"/>
          <w:sz w:val="21"/>
        </w:rPr>
        <w:t>9</w:t>
      </w:r>
      <w:r>
        <w:rPr>
          <w:rFonts w:hint="eastAsia" w:ascii="ＭＳ ゴシック" w:hAnsi="ＭＳ ゴシック" w:eastAsia="ＭＳ ゴシック"/>
          <w:sz w:val="21"/>
        </w:rPr>
        <w:t>：サービスの給付額割合</w:t>
      </w:r>
    </w:p>
    <w:p>
      <w:pPr>
        <w:pStyle w:val="0"/>
        <w:ind w:firstLine="1470" w:firstLineChars="700"/>
        <w:rPr>
          <w:rFonts w:hint="default"/>
        </w:rPr>
      </w:pPr>
      <w:r>
        <w:rPr>
          <w:rFonts w:hint="eastAsia" w:ascii="ＭＳ ゴシック" w:hAnsi="ＭＳ ゴシック" w:eastAsia="ＭＳ ゴシック"/>
          <w:sz w:val="21"/>
        </w:rPr>
        <w:t>（令和２</w:t>
      </w:r>
      <w:r>
        <w:rPr>
          <w:rFonts w:hint="default" w:ascii="ＭＳ ゴシック" w:hAnsi="ＭＳ ゴシック" w:eastAsia="ＭＳ ゴシック"/>
          <w:sz w:val="21"/>
        </w:rPr>
        <w:t>年４月分）</w:t>
      </w:r>
      <w:r>
        <w:rPr>
          <w:rFonts w:hint="eastAsia" w:ascii="ＭＳ ゴシック" w:hAnsi="ＭＳ ゴシック" w:eastAsia="ＭＳ ゴシック"/>
          <w:sz w:val="21"/>
        </w:rPr>
        <w:t>　　　　　　　　　　　　　　　（令和２</w:t>
      </w:r>
      <w:r>
        <w:rPr>
          <w:rFonts w:hint="default" w:ascii="ＭＳ ゴシック" w:hAnsi="ＭＳ ゴシック" w:eastAsia="ＭＳ ゴシック"/>
          <w:sz w:val="21"/>
        </w:rPr>
        <w:t>年４月分）</w:t>
      </w:r>
    </w:p>
    <w:p>
      <w:pPr>
        <w:pStyle w:val="0"/>
        <w:rPr>
          <w:rFonts w:hint="default"/>
        </w:rPr>
      </w:pPr>
      <w:r>
        <w:rPr>
          <w:rFonts w:hint="default"/>
        </w:rPr>
        <w:drawing>
          <wp:anchor distT="0" distB="0" distL="114300" distR="114300" simplePos="0" relativeHeight="36" behindDoc="0" locked="0" layoutInCell="1" hidden="0" allowOverlap="1">
            <wp:simplePos x="0" y="0"/>
            <wp:positionH relativeFrom="column">
              <wp:posOffset>3268345</wp:posOffset>
            </wp:positionH>
            <wp:positionV relativeFrom="paragraph">
              <wp:posOffset>31750</wp:posOffset>
            </wp:positionV>
            <wp:extent cx="3189605" cy="1998980"/>
            <wp:effectExtent l="0" t="0" r="0" b="0"/>
            <wp:wrapNone/>
            <wp:docPr id="1104" name="Picture 24"/>
            <a:graphic xmlns:a="http://schemas.openxmlformats.org/drawingml/2006/main">
              <a:graphicData uri="http://schemas.openxmlformats.org/drawingml/2006/picture">
                <pic:pic xmlns:pic="http://schemas.openxmlformats.org/drawingml/2006/picture">
                  <pic:nvPicPr>
                    <pic:cNvPr id="1104" name="Picture 24"/>
                    <pic:cNvPicPr>
                      <a:picLocks noChangeAspect="1" noChangeArrowheads="1"/>
                    </pic:cNvPicPr>
                  </pic:nvPicPr>
                  <pic:blipFill>
                    <a:blip r:embed="rId64"/>
                    <a:stretch>
                      <a:fillRect/>
                    </a:stretch>
                  </pic:blipFill>
                  <pic:spPr>
                    <a:xfrm>
                      <a:off x="0" y="0"/>
                      <a:ext cx="3189605" cy="1998980"/>
                    </a:xfrm>
                    <a:prstGeom prst="rect">
                      <a:avLst/>
                    </a:prstGeom>
                    <a:noFill/>
                    <a:ln>
                      <a:noFill/>
                    </a:ln>
                  </pic:spPr>
                </pic:pic>
              </a:graphicData>
            </a:graphic>
          </wp:anchor>
        </w:drawing>
      </w:r>
      <w:r>
        <w:rPr>
          <w:rFonts w:hint="default"/>
        </w:rPr>
        <w:drawing>
          <wp:anchor distT="0" distB="0" distL="114300" distR="114300" simplePos="0" relativeHeight="35" behindDoc="1" locked="0" layoutInCell="1" hidden="0" allowOverlap="1">
            <wp:simplePos x="0" y="0"/>
            <wp:positionH relativeFrom="column">
              <wp:posOffset>76200</wp:posOffset>
            </wp:positionH>
            <wp:positionV relativeFrom="paragraph">
              <wp:posOffset>31750</wp:posOffset>
            </wp:positionV>
            <wp:extent cx="3179445" cy="1998980"/>
            <wp:effectExtent l="0" t="0" r="0" b="0"/>
            <wp:wrapNone/>
            <wp:docPr id="1105" name="Picture 23"/>
            <a:graphic xmlns:a="http://schemas.openxmlformats.org/drawingml/2006/main">
              <a:graphicData uri="http://schemas.openxmlformats.org/drawingml/2006/picture">
                <pic:pic xmlns:pic="http://schemas.openxmlformats.org/drawingml/2006/picture">
                  <pic:nvPicPr>
                    <pic:cNvPr id="1105" name="Picture 23"/>
                    <pic:cNvPicPr>
                      <a:picLocks noChangeAspect="1" noChangeArrowheads="1"/>
                    </pic:cNvPicPr>
                  </pic:nvPicPr>
                  <pic:blipFill>
                    <a:blip r:embed="rId65"/>
                    <a:stretch>
                      <a:fillRect/>
                    </a:stretch>
                  </pic:blipFill>
                  <pic:spPr>
                    <a:xfrm>
                      <a:off x="0" y="0"/>
                      <a:ext cx="3179445" cy="199898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sz w:val="21"/>
        </w:rPr>
      </w:pPr>
      <w:r>
        <w:rPr>
          <w:rFonts w:hint="default" w:ascii="ＭＳ ゴシック" w:hAnsi="ＭＳ ゴシック" w:eastAsia="ＭＳ ゴシック"/>
        </w:rPr>
        <w:drawing>
          <wp:anchor distT="0" distB="0" distL="114300" distR="114300" simplePos="0" relativeHeight="37" behindDoc="1" locked="0" layoutInCell="1" hidden="0" allowOverlap="1">
            <wp:simplePos x="0" y="0"/>
            <wp:positionH relativeFrom="column">
              <wp:posOffset>79375</wp:posOffset>
            </wp:positionH>
            <wp:positionV relativeFrom="paragraph">
              <wp:posOffset>60325</wp:posOffset>
            </wp:positionV>
            <wp:extent cx="6028690" cy="2041525"/>
            <wp:effectExtent l="0" t="0" r="0" b="0"/>
            <wp:wrapNone/>
            <wp:docPr id="1106" name="Picture 25"/>
            <a:graphic xmlns:a="http://schemas.openxmlformats.org/drawingml/2006/main">
              <a:graphicData uri="http://schemas.openxmlformats.org/drawingml/2006/picture">
                <pic:pic xmlns:pic="http://schemas.openxmlformats.org/drawingml/2006/picture">
                  <pic:nvPicPr>
                    <pic:cNvPr id="1106" name="Picture 25"/>
                    <pic:cNvPicPr>
                      <a:picLocks noChangeAspect="1" noChangeArrowheads="1"/>
                    </pic:cNvPicPr>
                  </pic:nvPicPr>
                  <pic:blipFill>
                    <a:blip r:embed="rId66"/>
                    <a:stretch>
                      <a:fillRect/>
                    </a:stretch>
                  </pic:blipFill>
                  <pic:spPr>
                    <a:xfrm>
                      <a:off x="0" y="0"/>
                      <a:ext cx="6028690" cy="2041525"/>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0</w:t>
      </w:r>
      <w:r>
        <w:rPr>
          <w:rFonts w:hint="eastAsia" w:ascii="ＭＳ ゴシック" w:hAnsi="ＭＳ ゴシック" w:eastAsia="ＭＳ ゴシック"/>
          <w:sz w:val="21"/>
        </w:rPr>
        <w:t>：第１号被保険者１人あたりの給付費（月額）の推移</w:t>
      </w:r>
    </w:p>
    <w:p>
      <w:pPr>
        <w:pStyle w:val="0"/>
        <w:jc w:val="center"/>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ind w:right="106" w:rightChars="44" w:firstLine="200" w:firstLineChars="100"/>
        <w:rPr>
          <w:rFonts w:hint="default"/>
        </w:rPr>
      </w:pPr>
      <w:r>
        <w:rPr>
          <w:rFonts w:hint="eastAsia"/>
          <w:sz w:val="20"/>
        </w:rPr>
        <w:t>※各年度３</w:t>
      </w:r>
      <w:r>
        <w:rPr>
          <w:rFonts w:hint="default"/>
          <w:sz w:val="20"/>
        </w:rPr>
        <w:t>月</w:t>
      </w:r>
      <w:r>
        <w:rPr>
          <w:rFonts w:hint="eastAsia"/>
          <w:sz w:val="20"/>
        </w:rPr>
        <w:t>分</w:t>
      </w:r>
    </w:p>
    <w:p>
      <w:pPr>
        <w:pStyle w:val="0"/>
        <w:rPr>
          <w:rFonts w:hint="default" w:ascii="ＭＳ ゴシック" w:hAnsi="ＭＳ ゴシック" w:eastAsia="ＭＳ ゴシック"/>
          <w:sz w:val="21"/>
          <w:highlight w:val="yellow"/>
        </w:rPr>
      </w:pPr>
      <w:r>
        <w:rPr>
          <w:rFonts w:hint="eastAsia"/>
        </w:rPr>
        <mc:AlternateContent>
          <mc:Choice Requires="wps">
            <w:drawing>
              <wp:anchor distT="0" distB="0" distL="114300" distR="114300" simplePos="0" relativeHeight="26" behindDoc="0" locked="1" layoutInCell="1" hidden="0" allowOverlap="1">
                <wp:simplePos x="0" y="0"/>
                <wp:positionH relativeFrom="page">
                  <wp:posOffset>1371600</wp:posOffset>
                </wp:positionH>
                <wp:positionV relativeFrom="paragraph">
                  <wp:posOffset>47625</wp:posOffset>
                </wp:positionV>
                <wp:extent cx="5119370" cy="491490"/>
                <wp:effectExtent l="635" t="635" r="29845" b="10795"/>
                <wp:wrapNone/>
                <wp:docPr id="1107" name="四角形 3"/>
                <a:graphic xmlns:a="http://schemas.openxmlformats.org/drawingml/2006/main">
                  <a:graphicData uri="http://schemas.microsoft.com/office/word/2010/wordprocessingShape">
                    <wps:wsp>
                      <wps:cNvPr id="1107" name="四角形 3"/>
                      <wps:cNvSpPr/>
                      <wps:spPr>
                        <a:xfrm>
                          <a:off x="0" y="0"/>
                          <a:ext cx="5119370" cy="49149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rPr>
                                <w:rFonts w:hint="default"/>
                                <w:sz w:val="16"/>
                              </w:rPr>
                            </w:pPr>
                            <w:r>
                              <w:rPr>
                                <w:rFonts w:hint="eastAsia"/>
                                <w:color w:val="000000"/>
                                <w:sz w:val="16"/>
                              </w:rPr>
                              <w:t>（参考）大阪府平均（暫定値）　令和２年３月分　第１号被保険者１人あたりの給付額（月額）</w:t>
                            </w:r>
                          </w:p>
                          <w:p>
                            <w:pPr>
                              <w:pStyle w:val="0"/>
                              <w:snapToGrid w:val="0"/>
                              <w:ind w:firstLine="640" w:firstLineChars="400"/>
                              <w:rPr>
                                <w:rFonts w:hint="default"/>
                                <w:sz w:val="16"/>
                              </w:rPr>
                            </w:pPr>
                            <w:r>
                              <w:rPr>
                                <w:rFonts w:hint="eastAsia"/>
                                <w:color w:val="000000"/>
                                <w:sz w:val="16"/>
                              </w:rPr>
                              <w:t>居宅サービス：</w:t>
                            </w:r>
                            <w:r>
                              <w:rPr>
                                <w:rFonts w:hint="eastAsia"/>
                                <w:color w:val="000000"/>
                                <w:sz w:val="16"/>
                              </w:rPr>
                              <w:t>1</w:t>
                            </w:r>
                            <w:r>
                              <w:rPr>
                                <w:rFonts w:hint="default"/>
                                <w:color w:val="000000"/>
                                <w:sz w:val="16"/>
                              </w:rPr>
                              <w:t>4</w:t>
                            </w:r>
                            <w:r>
                              <w:rPr>
                                <w:rFonts w:hint="eastAsia"/>
                                <w:color w:val="000000"/>
                                <w:sz w:val="16"/>
                              </w:rPr>
                              <w:t>,</w:t>
                            </w:r>
                            <w:r>
                              <w:rPr>
                                <w:rFonts w:hint="default"/>
                                <w:color w:val="000000"/>
                                <w:sz w:val="16"/>
                              </w:rPr>
                              <w:t>675</w:t>
                            </w:r>
                            <w:r>
                              <w:rPr>
                                <w:rFonts w:hint="eastAsia"/>
                                <w:color w:val="000000"/>
                                <w:sz w:val="16"/>
                              </w:rPr>
                              <w:t>円　地域密着型サービス：</w:t>
                            </w:r>
                            <w:r>
                              <w:rPr>
                                <w:rFonts w:hint="default"/>
                                <w:color w:val="000000"/>
                                <w:sz w:val="16"/>
                              </w:rPr>
                              <w:t>3</w:t>
                            </w:r>
                            <w:r>
                              <w:rPr>
                                <w:rFonts w:hint="eastAsia"/>
                                <w:color w:val="000000"/>
                                <w:sz w:val="16"/>
                              </w:rPr>
                              <w:t>,</w:t>
                            </w:r>
                            <w:r>
                              <w:rPr>
                                <w:rFonts w:hint="default"/>
                                <w:color w:val="000000"/>
                                <w:sz w:val="16"/>
                              </w:rPr>
                              <w:t>315</w:t>
                            </w:r>
                            <w:r>
                              <w:rPr>
                                <w:rFonts w:hint="eastAsia"/>
                                <w:color w:val="000000"/>
                                <w:sz w:val="16"/>
                              </w:rPr>
                              <w:t>円　施設サービス：</w:t>
                            </w:r>
                            <w:r>
                              <w:rPr>
                                <w:rFonts w:hint="default"/>
                                <w:color w:val="000000"/>
                                <w:sz w:val="16"/>
                              </w:rPr>
                              <w:t>6</w:t>
                            </w:r>
                            <w:r>
                              <w:rPr>
                                <w:rFonts w:hint="eastAsia"/>
                                <w:color w:val="000000"/>
                                <w:sz w:val="16"/>
                              </w:rPr>
                              <w:t>,</w:t>
                            </w:r>
                            <w:r>
                              <w:rPr>
                                <w:rFonts w:hint="default"/>
                                <w:color w:val="000000"/>
                                <w:sz w:val="16"/>
                              </w:rPr>
                              <w:t>281</w:t>
                            </w:r>
                            <w:r>
                              <w:rPr>
                                <w:rFonts w:hint="eastAsia"/>
                                <w:color w:val="000000"/>
                                <w:sz w:val="16"/>
                              </w:rPr>
                              <w:t>円</w:t>
                            </w:r>
                          </w:p>
                          <w:p>
                            <w:pPr>
                              <w:pStyle w:val="0"/>
                              <w:snapToGrid w:val="0"/>
                              <w:ind w:firstLine="640" w:firstLineChars="400"/>
                              <w:rPr>
                                <w:rFonts w:hint="default"/>
                                <w:sz w:val="16"/>
                              </w:rPr>
                            </w:pPr>
                            <w:r>
                              <w:rPr>
                                <w:rFonts w:hint="eastAsia"/>
                                <w:color w:val="000000" w:themeColor="text1"/>
                                <w:sz w:val="16"/>
                              </w:rPr>
                              <w:t>※介護保険事業報告（暫定）（令和２年３月分）より</w:t>
                            </w:r>
                          </w:p>
                        </w:txbxContent>
                      </wps:txbx>
                      <wps:bodyPr vertOverflow="clip" horzOverflow="clip" wrap="square"/>
                    </wps:wsp>
                  </a:graphicData>
                </a:graphic>
              </wp:anchor>
            </w:drawing>
          </mc:Choice>
          <mc:Fallback>
            <w:pict>
              <v:rect id="四角形 3" style="mso-wrap-distance-right:9pt;mso-wrap-distance-bottom:0pt;margin-top:3.75pt;mso-position-vertical-relative:text;mso-position-horizontal-relative:page;position:absolute;height:38.700000000000003pt;mso-wrap-distance-top:0pt;width:403.1pt;mso-wrap-distance-left:9pt;margin-left:108pt;z-index:26;" o:spid="_x0000_s1107" o:allowincell="t" o:allowoverlap="t" filled="f" stroked="t" strokecolor="#808080 [1612]" strokeweight="0.75pt" o:spt="1">
                <v:fill/>
                <v:stroke linestyle="single" miterlimit="8" endcap="flat" dashstyle="solid" filltype="solid"/>
                <v:textbox style="layout-flow:horizontal;">
                  <w:txbxContent>
                    <w:p>
                      <w:pPr>
                        <w:pStyle w:val="0"/>
                        <w:snapToGrid w:val="0"/>
                        <w:rPr>
                          <w:rFonts w:hint="default"/>
                          <w:sz w:val="16"/>
                        </w:rPr>
                      </w:pPr>
                      <w:r>
                        <w:rPr>
                          <w:rFonts w:hint="eastAsia"/>
                          <w:color w:val="000000"/>
                          <w:sz w:val="16"/>
                        </w:rPr>
                        <w:t>（参考）大阪府平均（暫定値）　令和２年３月分　第１号被保険者１人あたりの給付額（月額）</w:t>
                      </w:r>
                    </w:p>
                    <w:p>
                      <w:pPr>
                        <w:pStyle w:val="0"/>
                        <w:snapToGrid w:val="0"/>
                        <w:ind w:firstLine="640" w:firstLineChars="400"/>
                        <w:rPr>
                          <w:rFonts w:hint="default"/>
                          <w:sz w:val="16"/>
                        </w:rPr>
                      </w:pPr>
                      <w:r>
                        <w:rPr>
                          <w:rFonts w:hint="eastAsia"/>
                          <w:color w:val="000000"/>
                          <w:sz w:val="16"/>
                        </w:rPr>
                        <w:t>居宅サービス：</w:t>
                      </w:r>
                      <w:r>
                        <w:rPr>
                          <w:rFonts w:hint="eastAsia"/>
                          <w:color w:val="000000"/>
                          <w:sz w:val="16"/>
                        </w:rPr>
                        <w:t>1</w:t>
                      </w:r>
                      <w:r>
                        <w:rPr>
                          <w:rFonts w:hint="default"/>
                          <w:color w:val="000000"/>
                          <w:sz w:val="16"/>
                        </w:rPr>
                        <w:t>4</w:t>
                      </w:r>
                      <w:r>
                        <w:rPr>
                          <w:rFonts w:hint="eastAsia"/>
                          <w:color w:val="000000"/>
                          <w:sz w:val="16"/>
                        </w:rPr>
                        <w:t>,</w:t>
                      </w:r>
                      <w:r>
                        <w:rPr>
                          <w:rFonts w:hint="default"/>
                          <w:color w:val="000000"/>
                          <w:sz w:val="16"/>
                        </w:rPr>
                        <w:t>675</w:t>
                      </w:r>
                      <w:r>
                        <w:rPr>
                          <w:rFonts w:hint="eastAsia"/>
                          <w:color w:val="000000"/>
                          <w:sz w:val="16"/>
                        </w:rPr>
                        <w:t>円　地域密着型サービス：</w:t>
                      </w:r>
                      <w:r>
                        <w:rPr>
                          <w:rFonts w:hint="default"/>
                          <w:color w:val="000000"/>
                          <w:sz w:val="16"/>
                        </w:rPr>
                        <w:t>3</w:t>
                      </w:r>
                      <w:r>
                        <w:rPr>
                          <w:rFonts w:hint="eastAsia"/>
                          <w:color w:val="000000"/>
                          <w:sz w:val="16"/>
                        </w:rPr>
                        <w:t>,</w:t>
                      </w:r>
                      <w:r>
                        <w:rPr>
                          <w:rFonts w:hint="default"/>
                          <w:color w:val="000000"/>
                          <w:sz w:val="16"/>
                        </w:rPr>
                        <w:t>315</w:t>
                      </w:r>
                      <w:r>
                        <w:rPr>
                          <w:rFonts w:hint="eastAsia"/>
                          <w:color w:val="000000"/>
                          <w:sz w:val="16"/>
                        </w:rPr>
                        <w:t>円　施設サービス：</w:t>
                      </w:r>
                      <w:r>
                        <w:rPr>
                          <w:rFonts w:hint="default"/>
                          <w:color w:val="000000"/>
                          <w:sz w:val="16"/>
                        </w:rPr>
                        <w:t>6</w:t>
                      </w:r>
                      <w:r>
                        <w:rPr>
                          <w:rFonts w:hint="eastAsia"/>
                          <w:color w:val="000000"/>
                          <w:sz w:val="16"/>
                        </w:rPr>
                        <w:t>,</w:t>
                      </w:r>
                      <w:r>
                        <w:rPr>
                          <w:rFonts w:hint="default"/>
                          <w:color w:val="000000"/>
                          <w:sz w:val="16"/>
                        </w:rPr>
                        <w:t>281</w:t>
                      </w:r>
                      <w:r>
                        <w:rPr>
                          <w:rFonts w:hint="eastAsia"/>
                          <w:color w:val="000000"/>
                          <w:sz w:val="16"/>
                        </w:rPr>
                        <w:t>円</w:t>
                      </w:r>
                    </w:p>
                    <w:p>
                      <w:pPr>
                        <w:pStyle w:val="0"/>
                        <w:snapToGrid w:val="0"/>
                        <w:ind w:firstLine="640" w:firstLineChars="400"/>
                        <w:rPr>
                          <w:rFonts w:hint="default"/>
                          <w:sz w:val="16"/>
                        </w:rPr>
                      </w:pPr>
                      <w:r>
                        <w:rPr>
                          <w:rFonts w:hint="eastAsia"/>
                          <w:color w:val="000000" w:themeColor="text1"/>
                          <w:sz w:val="16"/>
                        </w:rPr>
                        <w:t>※介護保険事業報告（暫定）（令和２年３月分）より</w:t>
                      </w:r>
                    </w:p>
                  </w:txbxContent>
                </v:textbox>
                <v:imagedata o:title=""/>
                <w10:wrap type="none" anchorx="page" anchory="text"/>
                <w10:anchorlock/>
              </v:rect>
            </w:pict>
          </mc:Fallback>
        </mc:AlternateContent>
      </w:r>
    </w:p>
    <w:p>
      <w:pPr>
        <w:pStyle w:val="0"/>
        <w:rPr>
          <w:rFonts w:hint="default" w:ascii="ＭＳ ゴシック" w:hAnsi="ＭＳ ゴシック" w:eastAsia="ＭＳ ゴシック"/>
          <w:sz w:val="21"/>
          <w:highlight w:val="yellow"/>
        </w:rPr>
      </w:pPr>
    </w:p>
    <w:p>
      <w:pPr>
        <w:pStyle w:val="0"/>
        <w:rPr>
          <w:rFonts w:hint="default" w:ascii="ＭＳ ゴシック" w:hAnsi="ＭＳ ゴシック" w:eastAsia="ＭＳ ゴシック"/>
          <w:sz w:val="21"/>
          <w:highlight w:val="yellow"/>
        </w:rPr>
      </w:pPr>
    </w:p>
    <w:p>
      <w:pPr>
        <w:pStyle w:val="0"/>
        <w:rPr>
          <w:rFonts w:hint="default" w:ascii="ＭＳ ゴシック" w:hAnsi="ＭＳ ゴシック" w:eastAsia="ＭＳ ゴシック"/>
          <w:sz w:val="21"/>
          <w:highlight w:val="yellow"/>
        </w:rPr>
      </w:pPr>
    </w:p>
    <w:p>
      <w:pPr>
        <w:pStyle w:val="0"/>
        <w:jc w:val="center"/>
        <w:rPr>
          <w:rFonts w:hint="default" w:ascii="ＭＳ ゴシック" w:hAnsi="ＭＳ ゴシック" w:eastAsia="ＭＳ ゴシック"/>
        </w:rPr>
      </w:pPr>
      <w:r>
        <w:rPr>
          <w:rFonts w:hint="default"/>
        </w:rPr>
        <w:drawing>
          <wp:anchor distT="0" distB="0" distL="114300" distR="114300" simplePos="0" relativeHeight="38" behindDoc="1" locked="0" layoutInCell="1" hidden="0" allowOverlap="1">
            <wp:simplePos x="0" y="0"/>
            <wp:positionH relativeFrom="column">
              <wp:posOffset>79375</wp:posOffset>
            </wp:positionH>
            <wp:positionV relativeFrom="paragraph">
              <wp:posOffset>60325</wp:posOffset>
            </wp:positionV>
            <wp:extent cx="6028690" cy="2052320"/>
            <wp:effectExtent l="0" t="0" r="0" b="0"/>
            <wp:wrapNone/>
            <wp:docPr id="1108" name="Picture 26"/>
            <a:graphic xmlns:a="http://schemas.openxmlformats.org/drawingml/2006/main">
              <a:graphicData uri="http://schemas.openxmlformats.org/drawingml/2006/picture">
                <pic:pic xmlns:pic="http://schemas.openxmlformats.org/drawingml/2006/picture">
                  <pic:nvPicPr>
                    <pic:cNvPr id="1108" name="Picture 26"/>
                    <pic:cNvPicPr>
                      <a:picLocks noChangeAspect="1" noChangeArrowheads="1"/>
                    </pic:cNvPicPr>
                  </pic:nvPicPr>
                  <pic:blipFill>
                    <a:blip r:embed="rId67"/>
                    <a:stretch>
                      <a:fillRect/>
                    </a:stretch>
                  </pic:blipFill>
                  <pic:spPr>
                    <a:xfrm>
                      <a:off x="0" y="0"/>
                      <a:ext cx="6028690" cy="2052320"/>
                    </a:xfrm>
                    <a:prstGeom prst="rect">
                      <a:avLst/>
                    </a:prstGeom>
                    <a:noFill/>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1</w:t>
      </w:r>
      <w:r>
        <w:rPr>
          <w:rFonts w:hint="eastAsia" w:ascii="ＭＳ ゴシック" w:hAnsi="ＭＳ ゴシック" w:eastAsia="ＭＳ ゴシック"/>
          <w:sz w:val="21"/>
        </w:rPr>
        <w:t>：介護保険サービス受給者１人あたりの給付費（月額）の推移</w:t>
      </w:r>
    </w:p>
    <w:p>
      <w:pPr>
        <w:pStyle w:val="0"/>
        <w:jc w:val="center"/>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right="106" w:rightChars="44" w:firstLine="200" w:firstLineChars="100"/>
        <w:rPr>
          <w:rFonts w:hint="default"/>
        </w:rPr>
      </w:pPr>
      <w:r>
        <w:rPr>
          <w:rFonts w:hint="eastAsia"/>
          <w:sz w:val="20"/>
        </w:rPr>
        <w:t>※各年度３</w:t>
      </w:r>
      <w:r>
        <w:rPr>
          <w:rFonts w:hint="default"/>
          <w:sz w:val="20"/>
        </w:rPr>
        <w:t>月</w:t>
      </w:r>
      <w:r>
        <w:rPr>
          <w:rFonts w:hint="eastAsia"/>
          <w:sz w:val="20"/>
        </w:rPr>
        <w:t>分</w:t>
      </w:r>
    </w:p>
    <w:p>
      <w:pPr>
        <w:pStyle w:val="0"/>
        <w:rPr>
          <w:rFonts w:hint="default"/>
        </w:rPr>
      </w:pPr>
      <w:r>
        <w:rPr>
          <w:rFonts w:hint="eastAsia"/>
        </w:rPr>
        <mc:AlternateContent>
          <mc:Choice Requires="wps">
            <w:drawing>
              <wp:anchor distT="0" distB="0" distL="114300" distR="114300" simplePos="0" relativeHeight="27" behindDoc="0" locked="1" layoutInCell="1" hidden="0" allowOverlap="1">
                <wp:simplePos x="0" y="0"/>
                <wp:positionH relativeFrom="page">
                  <wp:posOffset>1449070</wp:posOffset>
                </wp:positionH>
                <wp:positionV relativeFrom="paragraph">
                  <wp:posOffset>47625</wp:posOffset>
                </wp:positionV>
                <wp:extent cx="5052695" cy="506730"/>
                <wp:effectExtent l="635" t="635" r="29845" b="10795"/>
                <wp:wrapNone/>
                <wp:docPr id="1109" name="四角形 2"/>
                <a:graphic xmlns:a="http://schemas.openxmlformats.org/drawingml/2006/main">
                  <a:graphicData uri="http://schemas.microsoft.com/office/word/2010/wordprocessingShape">
                    <wps:wsp>
                      <wps:cNvPr id="1109" name="四角形 2"/>
                      <wps:cNvSpPr/>
                      <wps:spPr>
                        <a:xfrm>
                          <a:off x="0" y="0"/>
                          <a:ext cx="5052695" cy="50673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rPr>
                                <w:rFonts w:hint="default"/>
                              </w:rPr>
                            </w:pPr>
                            <w:r>
                              <w:rPr>
                                <w:rFonts w:hint="eastAsia"/>
                                <w:color w:val="000000"/>
                                <w:sz w:val="16"/>
                              </w:rPr>
                              <w:t>（参考）大阪府平均（暫定値）　令和２年３月分　介護保険サービス受給者１人あたりの給付額（月額）</w:t>
                            </w:r>
                          </w:p>
                          <w:p>
                            <w:pPr>
                              <w:pStyle w:val="0"/>
                              <w:snapToGrid w:val="0"/>
                              <w:ind w:firstLine="640" w:firstLineChars="400"/>
                              <w:rPr>
                                <w:rFonts w:hint="default"/>
                                <w:sz w:val="16"/>
                              </w:rPr>
                            </w:pPr>
                            <w:r>
                              <w:rPr>
                                <w:rFonts w:hint="eastAsia"/>
                                <w:color w:val="000000"/>
                                <w:sz w:val="16"/>
                              </w:rPr>
                              <w:t>居宅サービス：</w:t>
                            </w:r>
                            <w:r>
                              <w:rPr>
                                <w:rFonts w:hint="default"/>
                                <w:color w:val="000000"/>
                                <w:sz w:val="16"/>
                              </w:rPr>
                              <w:t>110,767</w:t>
                            </w:r>
                            <w:r>
                              <w:rPr>
                                <w:rFonts w:hint="eastAsia"/>
                                <w:color w:val="000000"/>
                                <w:sz w:val="16"/>
                              </w:rPr>
                              <w:t>円　地域密着型サービス：</w:t>
                            </w:r>
                            <w:r>
                              <w:rPr>
                                <w:rFonts w:hint="default"/>
                                <w:color w:val="000000"/>
                                <w:sz w:val="16"/>
                              </w:rPr>
                              <w:t>131,409</w:t>
                            </w:r>
                            <w:r>
                              <w:rPr>
                                <w:rFonts w:hint="eastAsia"/>
                                <w:color w:val="000000"/>
                                <w:sz w:val="16"/>
                              </w:rPr>
                              <w:t>円　施設サービス：</w:t>
                            </w:r>
                            <w:r>
                              <w:rPr>
                                <w:rFonts w:hint="default"/>
                                <w:color w:val="000000"/>
                                <w:sz w:val="16"/>
                              </w:rPr>
                              <w:t>287,103</w:t>
                            </w:r>
                            <w:r>
                              <w:rPr>
                                <w:rFonts w:hint="eastAsia"/>
                                <w:color w:val="000000"/>
                                <w:sz w:val="16"/>
                              </w:rPr>
                              <w:t>円</w:t>
                            </w:r>
                          </w:p>
                          <w:p>
                            <w:pPr>
                              <w:pStyle w:val="0"/>
                              <w:snapToGrid w:val="0"/>
                              <w:ind w:firstLine="640" w:firstLineChars="400"/>
                              <w:rPr>
                                <w:rFonts w:hint="default"/>
                              </w:rPr>
                            </w:pPr>
                            <w:r>
                              <w:rPr>
                                <w:rFonts w:hint="eastAsia"/>
                                <w:color w:val="000000" w:themeColor="text1"/>
                                <w:sz w:val="16"/>
                              </w:rPr>
                              <w:t>※介護保険事業報告（暫定）（令和２年３月分）より</w:t>
                            </w:r>
                          </w:p>
                        </w:txbxContent>
                      </wps:txbx>
                      <wps:bodyPr vertOverflow="clip" horzOverflow="clip" wrap="square" anchor="ctr"/>
                    </wps:wsp>
                  </a:graphicData>
                </a:graphic>
              </wp:anchor>
            </w:drawing>
          </mc:Choice>
          <mc:Fallback>
            <w:pict>
              <v:rect id="四角形 2" style="mso-wrap-distance-right:9pt;mso-wrap-distance-bottom:0pt;margin-top:3.75pt;mso-position-vertical-relative:text;mso-position-horizontal-relative:page;v-text-anchor:middle;position:absolute;height:39.9pt;mso-wrap-distance-top:0pt;width:397.85pt;mso-wrap-distance-left:9pt;margin-left:114.1pt;z-index:27;" o:spid="_x0000_s1109" o:allowincell="t" o:allowoverlap="t" filled="f" stroked="t" strokecolor="#808080 [1612]" strokeweight="0.75pt" o:spt="1">
                <v:fill/>
                <v:stroke linestyle="single" miterlimit="8" endcap="flat" dashstyle="solid" filltype="solid"/>
                <v:textbox style="layout-flow:horizontal;">
                  <w:txbxContent>
                    <w:p>
                      <w:pPr>
                        <w:pStyle w:val="0"/>
                        <w:snapToGrid w:val="0"/>
                        <w:rPr>
                          <w:rFonts w:hint="default"/>
                        </w:rPr>
                      </w:pPr>
                      <w:r>
                        <w:rPr>
                          <w:rFonts w:hint="eastAsia"/>
                          <w:color w:val="000000"/>
                          <w:sz w:val="16"/>
                        </w:rPr>
                        <w:t>（参考）大阪府平均（暫定値）　令和２年３月分　介護保険サービス受給者１人あたりの給付額（月額）</w:t>
                      </w:r>
                    </w:p>
                    <w:p>
                      <w:pPr>
                        <w:pStyle w:val="0"/>
                        <w:snapToGrid w:val="0"/>
                        <w:ind w:firstLine="640" w:firstLineChars="400"/>
                        <w:rPr>
                          <w:rFonts w:hint="default"/>
                          <w:sz w:val="16"/>
                        </w:rPr>
                      </w:pPr>
                      <w:r>
                        <w:rPr>
                          <w:rFonts w:hint="eastAsia"/>
                          <w:color w:val="000000"/>
                          <w:sz w:val="16"/>
                        </w:rPr>
                        <w:t>居宅サービス：</w:t>
                      </w:r>
                      <w:r>
                        <w:rPr>
                          <w:rFonts w:hint="default"/>
                          <w:color w:val="000000"/>
                          <w:sz w:val="16"/>
                        </w:rPr>
                        <w:t>110,767</w:t>
                      </w:r>
                      <w:r>
                        <w:rPr>
                          <w:rFonts w:hint="eastAsia"/>
                          <w:color w:val="000000"/>
                          <w:sz w:val="16"/>
                        </w:rPr>
                        <w:t>円　地域密着型サービス：</w:t>
                      </w:r>
                      <w:r>
                        <w:rPr>
                          <w:rFonts w:hint="default"/>
                          <w:color w:val="000000"/>
                          <w:sz w:val="16"/>
                        </w:rPr>
                        <w:t>131,409</w:t>
                      </w:r>
                      <w:r>
                        <w:rPr>
                          <w:rFonts w:hint="eastAsia"/>
                          <w:color w:val="000000"/>
                          <w:sz w:val="16"/>
                        </w:rPr>
                        <w:t>円　施設サービス：</w:t>
                      </w:r>
                      <w:r>
                        <w:rPr>
                          <w:rFonts w:hint="default"/>
                          <w:color w:val="000000"/>
                          <w:sz w:val="16"/>
                        </w:rPr>
                        <w:t>287,103</w:t>
                      </w:r>
                      <w:r>
                        <w:rPr>
                          <w:rFonts w:hint="eastAsia"/>
                          <w:color w:val="000000"/>
                          <w:sz w:val="16"/>
                        </w:rPr>
                        <w:t>円</w:t>
                      </w:r>
                    </w:p>
                    <w:p>
                      <w:pPr>
                        <w:pStyle w:val="0"/>
                        <w:snapToGrid w:val="0"/>
                        <w:ind w:firstLine="640" w:firstLineChars="400"/>
                        <w:rPr>
                          <w:rFonts w:hint="default"/>
                        </w:rPr>
                      </w:pPr>
                      <w:r>
                        <w:rPr>
                          <w:rFonts w:hint="eastAsia"/>
                          <w:color w:val="000000" w:themeColor="text1"/>
                          <w:sz w:val="16"/>
                        </w:rPr>
                        <w:t>※介護保険事業報告（暫定）（令和２年３月分）より</w:t>
                      </w:r>
                    </w:p>
                  </w:txbxContent>
                </v:textbox>
                <v:imagedata o:title=""/>
                <w10:wrap type="none" anchorx="page" anchory="text"/>
                <w10:anchorlock/>
              </v:rect>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5"/>
        <w:ind w:left="0" w:leftChars="0" w:firstLine="240" w:firstLineChars="100"/>
        <w:rPr>
          <w:rFonts w:hint="default" w:ascii="ＭＳ ゴシック" w:hAnsi="ＭＳ ゴシック" w:eastAsia="ＭＳ ゴシック"/>
        </w:rPr>
      </w:pPr>
      <w:bookmarkStart w:id="39" w:name="_Toc59007770"/>
      <w:r>
        <w:rPr>
          <w:rFonts w:hint="eastAsia" w:ascii="ＭＳ ゴシック" w:hAnsi="ＭＳ ゴシック" w:eastAsia="ＭＳ ゴシック"/>
        </w:rPr>
        <w:t>イ）サービス基盤の整備状況</w:t>
      </w:r>
      <w:bookmarkEnd w:id="39"/>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①施設・居住系サービス</w:t>
      </w:r>
    </w:p>
    <w:p>
      <w:pPr>
        <w:pStyle w:val="0"/>
        <w:ind w:left="240" w:leftChars="100" w:firstLine="240" w:firstLineChars="100"/>
        <w:jc w:val="both"/>
        <w:rPr>
          <w:rFonts w:hint="default"/>
        </w:rPr>
      </w:pPr>
      <w:r>
        <w:rPr>
          <w:rFonts w:hint="eastAsia"/>
        </w:rPr>
        <w:t>本市における第７期計画期間中の施設・居住系サービス基盤の整備状況は図表</w:t>
      </w:r>
      <w:r>
        <w:rPr>
          <w:rFonts w:hint="eastAsia"/>
        </w:rPr>
        <w:t>6</w:t>
      </w:r>
      <w:r>
        <w:rPr>
          <w:rFonts w:hint="default"/>
        </w:rPr>
        <w:t>2</w:t>
      </w:r>
      <w:r>
        <w:rPr>
          <w:rFonts w:hint="eastAsia"/>
        </w:rPr>
        <w:t>のとおりです。</w:t>
      </w:r>
    </w:p>
    <w:p>
      <w:pPr>
        <w:pStyle w:val="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2</w:t>
      </w:r>
      <w:r>
        <w:rPr>
          <w:rFonts w:hint="default" w:ascii="ＭＳ ゴシック" w:hAnsi="ＭＳ ゴシック" w:eastAsia="ＭＳ ゴシック"/>
          <w:sz w:val="21"/>
        </w:rPr>
        <w:t>：</w:t>
      </w:r>
      <w:r>
        <w:rPr>
          <w:rFonts w:hint="eastAsia" w:ascii="ＭＳ ゴシック" w:hAnsi="ＭＳ ゴシック" w:eastAsia="ＭＳ ゴシック"/>
          <w:sz w:val="21"/>
        </w:rPr>
        <w:t>施設サービス基盤の整備状況（令和２年</w:t>
      </w:r>
      <w:r>
        <w:rPr>
          <w:rFonts w:hint="eastAsia" w:ascii="ＭＳ ゴシック" w:hAnsi="ＭＳ ゴシック" w:eastAsia="ＭＳ ゴシック"/>
          <w:sz w:val="21"/>
        </w:rPr>
        <w:t>(2020</w:t>
      </w:r>
      <w:r>
        <w:rPr>
          <w:rFonts w:hint="eastAsia" w:ascii="ＭＳ ゴシック" w:hAnsi="ＭＳ ゴシック" w:eastAsia="ＭＳ ゴシック"/>
          <w:sz w:val="21"/>
        </w:rPr>
        <w:t>年</w:t>
      </w:r>
      <w:r>
        <w:rPr>
          <w:rFonts w:hint="eastAsia" w:ascii="ＭＳ ゴシック" w:hAnsi="ＭＳ ゴシック" w:eastAsia="ＭＳ ゴシック"/>
          <w:sz w:val="21"/>
        </w:rPr>
        <w:t>)</w:t>
      </w:r>
      <w:r>
        <w:rPr>
          <w:rFonts w:hint="eastAsia" w:ascii="ＭＳ ゴシック" w:hAnsi="ＭＳ ゴシック" w:eastAsia="ＭＳ ゴシック"/>
          <w:sz w:val="21"/>
        </w:rPr>
        <w:t>９</w:t>
      </w:r>
      <w:r>
        <w:rPr>
          <w:rFonts w:hint="default" w:ascii="ＭＳ ゴシック" w:hAnsi="ＭＳ ゴシック" w:eastAsia="ＭＳ ゴシック"/>
          <w:sz w:val="21"/>
        </w:rPr>
        <w:t>月末時点）</w:t>
      </w:r>
    </w:p>
    <w:tbl>
      <w:tblPr>
        <w:tblStyle w:val="60"/>
        <w:tblW w:w="9776" w:type="dxa"/>
        <w:tblInd w:w="0" w:type="dxa"/>
        <w:tblLayout w:type="fixed"/>
        <w:tblLook w:firstRow="1" w:lastRow="0" w:firstColumn="1" w:lastColumn="0" w:noHBand="0" w:noVBand="1" w:val="04A0"/>
      </w:tblPr>
      <w:tblGrid>
        <w:gridCol w:w="562"/>
        <w:gridCol w:w="993"/>
        <w:gridCol w:w="1701"/>
        <w:gridCol w:w="1086"/>
        <w:gridCol w:w="1087"/>
        <w:gridCol w:w="1087"/>
        <w:gridCol w:w="1086"/>
        <w:gridCol w:w="1087"/>
        <w:gridCol w:w="1087"/>
      </w:tblGrid>
      <w:tr>
        <w:trPr>
          <w:cantSplit/>
          <w:trHeight w:val="2643" w:hRule="atLeast"/>
        </w:trPr>
        <w:tc>
          <w:tcPr>
            <w:tcW w:w="3256" w:type="dxa"/>
            <w:gridSpan w:val="3"/>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種別</w:t>
            </w:r>
          </w:p>
        </w:tc>
        <w:tc>
          <w:tcPr>
            <w:tcW w:w="10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特別養護老人ホーム</w:t>
            </w:r>
          </w:p>
        </w:tc>
        <w:tc>
          <w:tcPr>
            <w:tcW w:w="1087"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介護老人保健施設</w:t>
            </w:r>
          </w:p>
        </w:tc>
        <w:tc>
          <w:tcPr>
            <w:tcW w:w="1087"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介護医療院</w:t>
            </w:r>
          </w:p>
        </w:tc>
        <w:tc>
          <w:tcPr>
            <w:tcW w:w="10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介護療養型医療施設</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themeFill="accent5" w:themeFillTint="66" w:themeFillShade="FF"/>
            <w:textDirection w:val="tbRlV"/>
            <w:vAlign w:val="center"/>
          </w:tcPr>
          <w:p>
            <w:pPr>
              <w:pStyle w:val="0"/>
              <w:spacing w:line="240" w:lineRule="exact"/>
              <w:ind w:left="113" w:right="113"/>
              <w:jc w:val="both"/>
              <w:rPr>
                <w:rFonts w:hint="default" w:ascii="ＭＳ ゴシック" w:hAnsi="ＭＳ ゴシック" w:eastAsia="ＭＳ ゴシック"/>
              </w:rPr>
            </w:pPr>
            <w:r>
              <w:rPr>
                <w:rFonts w:hint="eastAsia" w:ascii="ＭＳ ゴシック" w:hAnsi="ＭＳ ゴシック" w:eastAsia="ＭＳ ゴシック"/>
              </w:rPr>
              <w:t>特定施設入居者生活介護</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themeFill="accent5" w:themeFillTint="66" w:themeFillShade="FF"/>
            <w:textDirection w:val="tbRlV"/>
            <w:vAlign w:val="center"/>
          </w:tcPr>
          <w:p>
            <w:pPr>
              <w:pStyle w:val="0"/>
              <w:spacing w:line="280" w:lineRule="exact"/>
              <w:ind w:left="113" w:right="113"/>
              <w:jc w:val="both"/>
              <w:rPr>
                <w:rFonts w:hint="default" w:ascii="ＭＳ ゴシック" w:hAnsi="ＭＳ ゴシック" w:eastAsia="ＭＳ ゴシック"/>
              </w:rPr>
            </w:pPr>
            <w:r>
              <w:rPr>
                <w:rFonts w:hint="eastAsia" w:ascii="ＭＳ ゴシック" w:hAnsi="ＭＳ ゴシック" w:eastAsia="ＭＳ ゴシック"/>
              </w:rPr>
              <w:t>合計</w:t>
            </w:r>
          </w:p>
        </w:tc>
      </w:tr>
      <w:tr>
        <w:trPr/>
        <w:tc>
          <w:tcPr>
            <w:tcW w:w="562" w:type="dxa"/>
            <w:vMerge w:val="restart"/>
            <w:shd w:val="clear" w:color="auto" w:themeFill="accent5" w:themeFillTint="66" w:themeFillShade="FF"/>
            <w:textDirection w:val="tbRlV"/>
            <w:vAlign w:val="center"/>
          </w:tcPr>
          <w:p>
            <w:pPr>
              <w:pStyle w:val="0"/>
              <w:ind w:left="113" w:right="113"/>
              <w:jc w:val="center"/>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25" behindDoc="0" locked="0" layoutInCell="1" hidden="0" allowOverlap="1">
                      <wp:simplePos x="0" y="0"/>
                      <wp:positionH relativeFrom="column">
                        <wp:posOffset>-272415</wp:posOffset>
                      </wp:positionH>
                      <wp:positionV relativeFrom="paragraph">
                        <wp:posOffset>793750</wp:posOffset>
                      </wp:positionV>
                      <wp:extent cx="563245" cy="350520"/>
                      <wp:effectExtent l="0" t="0" r="635" b="635"/>
                      <wp:wrapNone/>
                      <wp:docPr id="1110" name="テキスト ボックス 22"/>
                      <a:graphic xmlns:a="http://schemas.openxmlformats.org/drawingml/2006/main">
                        <a:graphicData uri="http://schemas.microsoft.com/office/word/2010/wordprocessingShape">
                          <wps:wsp>
                            <wps:cNvPr id="1110" name="テキスト ボックス 22"/>
                            <wps:cNvSpPr txBox="1"/>
                            <wps:spPr>
                              <a:xfrm>
                                <a:off x="0" y="0"/>
                                <a:ext cx="563245" cy="350520"/>
                              </a:xfrm>
                              <a:prstGeom prst="rect">
                                <a:avLst/>
                              </a:prstGeom>
                              <a:noFill/>
                              <a:ln w="6350">
                                <a:noFill/>
                              </a:ln>
                            </wps:spPr>
                            <wps:txbx>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29</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2" style="mso-wrap-distance-right:9pt;mso-wrap-distance-bottom:0pt;margin-top:62.5pt;mso-position-vertical-relative:text;mso-position-horizontal-relative:text;v-text-anchor:top;position:absolute;height:27.6pt;mso-wrap-distance-top:0pt;width:44.35pt;mso-wrap-distance-left:9pt;margin-left:-21.45pt;z-index:25;" o:spid="_x0000_s1110" o:allowincell="t" o:allowoverlap="t" filled="f" stroked="f" strokeweight="0.5pt" o:spt="202" type="#_x0000_t202">
                      <v:fill/>
                      <v:textbox style="layout-flow:horizontal;">
                        <w:txbxContent>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29</w:t>
                            </w:r>
                          </w:p>
                        </w:txbxContent>
                      </v:textbox>
                      <v:imagedata o:title=""/>
                      <w10:wrap type="none" anchorx="text" anchory="text"/>
                    </v:shape>
                  </w:pict>
                </mc:Fallback>
              </mc:AlternateContent>
            </w:r>
            <w:r>
              <w:rPr>
                <w:rFonts w:hint="eastAsia" w:ascii="ＭＳ ゴシック" w:hAnsi="ＭＳ ゴシック" w:eastAsia="ＭＳ ゴシック"/>
              </w:rPr>
              <w:t>平成　</w:t>
            </w:r>
            <w:r>
              <w:rPr>
                <w:rFonts w:hint="default" w:ascii="ＭＳ ゴシック" w:hAnsi="ＭＳ ゴシック" w:eastAsia="ＭＳ ゴシック"/>
              </w:rPr>
              <w:t>年度末時点の整備数</w:t>
            </w:r>
            <w:r>
              <w:rPr>
                <w:rFonts w:hint="eastAsia" w:ascii="ＭＳ ゴシック" w:hAnsi="ＭＳ ゴシック" w:eastAsia="ＭＳ ゴシック"/>
              </w:rPr>
              <w:t>（施設数）</w:t>
            </w:r>
          </w:p>
        </w:tc>
        <w:tc>
          <w:tcPr>
            <w:tcW w:w="993"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西部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箕面小学校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西小学校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 xml:space="preserve"> </w:t>
            </w:r>
            <w:r>
              <w:rPr>
                <w:rFonts w:hint="eastAsia" w:ascii="ＭＳ ゴシック" w:hAnsi="ＭＳ ゴシック" w:eastAsia="ＭＳ ゴシック"/>
              </w:rPr>
              <w:t>北部・</w:t>
            </w:r>
          </w:p>
          <w:p>
            <w:pPr>
              <w:pStyle w:val="0"/>
              <w:ind w:firstLine="105" w:firstLineChars="50"/>
              <w:rPr>
                <w:rFonts w:hint="default" w:ascii="ＭＳ ゴシック" w:hAnsi="ＭＳ ゴシック" w:eastAsia="ＭＳ ゴシック"/>
              </w:rPr>
            </w:pPr>
            <w:r>
              <w:rPr>
                <w:rFonts w:hint="eastAsia" w:ascii="ＭＳ ゴシック" w:hAnsi="ＭＳ ゴシック" w:eastAsia="ＭＳ ゴシック"/>
              </w:rPr>
              <w:t>西南</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止々呂美小学校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西南小学校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中西部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中小学校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2</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中東部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萱野東小学校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3</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4</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豊川南小学校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2</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東部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東小学校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豊川北小学校</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2</w:t>
            </w:r>
          </w:p>
        </w:tc>
      </w:tr>
      <w:tr>
        <w:trPr/>
        <w:tc>
          <w:tcPr>
            <w:tcW w:w="562"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993"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p>
        </w:tc>
        <w:tc>
          <w:tcPr>
            <w:tcW w:w="170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彩都の丘小学校</w:t>
            </w:r>
          </w:p>
        </w:tc>
        <w:tc>
          <w:tcPr>
            <w:tcW w:w="10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r>
      <w:tr>
        <w:trPr/>
        <w:tc>
          <w:tcPr>
            <w:tcW w:w="562"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p>
        </w:tc>
        <w:tc>
          <w:tcPr>
            <w:tcW w:w="2694" w:type="dxa"/>
            <w:gridSpan w:val="2"/>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合計</w:t>
            </w:r>
          </w:p>
        </w:tc>
        <w:tc>
          <w:tcPr>
            <w:tcW w:w="10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5</w:t>
            </w:r>
          </w:p>
        </w:tc>
        <w:tc>
          <w:tcPr>
            <w:tcW w:w="108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4</w:t>
            </w:r>
          </w:p>
        </w:tc>
        <w:tc>
          <w:tcPr>
            <w:tcW w:w="108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double" w:color="auto" w:sz="4" w:space="0"/>
              <w:left w:val="none" w:color="auto" w:sz="0" w:space="0"/>
              <w:bottom w:val="double" w:color="auto" w:sz="4"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7</w:t>
            </w:r>
          </w:p>
        </w:tc>
        <w:tc>
          <w:tcPr>
            <w:tcW w:w="1087"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r>
              <w:rPr>
                <w:rFonts w:hint="default" w:ascii="ＭＳ 明朝" w:hAnsi="ＭＳ 明朝" w:eastAsia="ＭＳ 明朝"/>
              </w:rPr>
              <w:t>6</w:t>
            </w:r>
          </w:p>
        </w:tc>
      </w:tr>
      <w:tr>
        <w:trPr/>
        <w:tc>
          <w:tcPr>
            <w:tcW w:w="3256" w:type="dxa"/>
            <w:gridSpan w:val="3"/>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定員（人）</w:t>
            </w:r>
          </w:p>
        </w:tc>
        <w:tc>
          <w:tcPr>
            <w:tcW w:w="10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3</w:t>
            </w:r>
            <w:r>
              <w:rPr>
                <w:rFonts w:hint="default" w:ascii="ＭＳ 明朝" w:hAnsi="ＭＳ 明朝" w:eastAsia="ＭＳ 明朝"/>
              </w:rPr>
              <w:t>80</w:t>
            </w:r>
          </w:p>
        </w:tc>
        <w:tc>
          <w:tcPr>
            <w:tcW w:w="108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3</w:t>
            </w:r>
            <w:r>
              <w:rPr>
                <w:rFonts w:hint="default" w:ascii="ＭＳ 明朝" w:hAnsi="ＭＳ 明朝" w:eastAsia="ＭＳ 明朝"/>
              </w:rPr>
              <w:t>70</w:t>
            </w:r>
          </w:p>
        </w:tc>
        <w:tc>
          <w:tcPr>
            <w:tcW w:w="1087"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double" w:color="auto" w:sz="4" w:space="0"/>
              <w:left w:val="none" w:color="auto" w:sz="0" w:space="0"/>
              <w:bottom w:val="double" w:color="auto" w:sz="4" w:space="0"/>
              <w:right w:val="double" w:color="auto" w:sz="4"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4</w:t>
            </w:r>
            <w:r>
              <w:rPr>
                <w:rFonts w:hint="default" w:ascii="ＭＳ 明朝" w:hAnsi="ＭＳ 明朝" w:eastAsia="ＭＳ 明朝"/>
              </w:rPr>
              <w:t>07</w:t>
            </w:r>
          </w:p>
        </w:tc>
        <w:tc>
          <w:tcPr>
            <w:tcW w:w="1087" w:type="dxa"/>
            <w:tcBorders>
              <w:top w:val="double" w:color="auto" w:sz="4" w:space="0"/>
              <w:left w:val="double" w:color="auto" w:sz="4"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r>
              <w:rPr>
                <w:rFonts w:hint="default" w:ascii="ＭＳ 明朝" w:hAnsi="ＭＳ 明朝" w:eastAsia="ＭＳ 明朝"/>
              </w:rPr>
              <w:t>,157</w:t>
            </w:r>
          </w:p>
        </w:tc>
      </w:tr>
      <w:tr>
        <w:trPr/>
        <w:tc>
          <w:tcPr>
            <w:tcW w:w="3256" w:type="dxa"/>
            <w:gridSpan w:val="3"/>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vAlign w:val="top"/>
          </w:tcPr>
          <w:p>
            <w:pPr>
              <w:pStyle w:val="0"/>
              <w:ind w:right="-394" w:rightChars="-164"/>
              <w:rPr>
                <w:rFonts w:hint="default" w:ascii="ＭＳ ゴシック" w:hAnsi="ＭＳ ゴシック" w:eastAsia="ＭＳ ゴシック"/>
              </w:rPr>
            </w:pPr>
            <w:r>
              <w:rPr>
                <w:rFonts w:hint="eastAsia" w:ascii="ＭＳ ゴシック" w:hAnsi="ＭＳ ゴシック" w:eastAsia="ＭＳ ゴシック"/>
                <w:spacing w:val="1"/>
                <w:w w:val="85"/>
                <w:kern w:val="0"/>
                <w:fitText w:val="2520" w:id="9"/>
              </w:rPr>
              <w:t>第７期計画期間新規整備見込</w:t>
            </w:r>
            <w:r>
              <w:rPr>
                <w:rFonts w:hint="eastAsia" w:ascii="ＭＳ ゴシック" w:hAnsi="ＭＳ ゴシック" w:eastAsia="ＭＳ ゴシック"/>
                <w:spacing w:val="6"/>
                <w:w w:val="85"/>
                <w:kern w:val="0"/>
                <w:fitText w:val="2520" w:id="9"/>
              </w:rPr>
              <w:t>数</w:t>
            </w:r>
            <w:r>
              <w:rPr>
                <w:rFonts w:hint="eastAsia" w:ascii="ＭＳ ゴシック" w:hAnsi="ＭＳ ゴシック" w:eastAsia="ＭＳ ゴシック"/>
              </w:rPr>
              <w:t>（人）</w:t>
            </w:r>
          </w:p>
        </w:tc>
        <w:tc>
          <w:tcPr>
            <w:tcW w:w="108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6</w:t>
            </w:r>
            <w:r>
              <w:rPr>
                <w:rFonts w:hint="default" w:ascii="ＭＳ 明朝" w:hAnsi="ＭＳ 明朝" w:eastAsia="ＭＳ 明朝"/>
              </w:rPr>
              <w:t>0</w:t>
            </w:r>
          </w:p>
        </w:tc>
        <w:tc>
          <w:tcPr>
            <w:tcW w:w="108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double" w:color="auto" w:sz="4" w:space="0"/>
              <w:left w:val="doub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6</w:t>
            </w:r>
            <w:r>
              <w:rPr>
                <w:rFonts w:hint="default" w:ascii="ＭＳ 明朝" w:hAnsi="ＭＳ 明朝" w:eastAsia="ＭＳ 明朝"/>
              </w:rPr>
              <w:t>0</w:t>
            </w:r>
          </w:p>
        </w:tc>
      </w:tr>
      <w:tr>
        <w:trPr/>
        <w:tc>
          <w:tcPr>
            <w:tcW w:w="3256" w:type="dxa"/>
            <w:gridSpan w:val="3"/>
            <w:shd w:val="clear" w:color="auto" w:themeFill="accent5" w:themeFillTint="66" w:themeFillShade="FF"/>
            <w:vAlign w:val="top"/>
          </w:tcPr>
          <w:p>
            <w:pPr>
              <w:pStyle w:val="0"/>
              <w:ind w:right="-394" w:rightChars="-164"/>
              <w:rPr>
                <w:rFonts w:hint="default" w:ascii="ＭＳ ゴシック" w:hAnsi="ＭＳ ゴシック" w:eastAsia="ＭＳ ゴシック"/>
              </w:rPr>
            </w:pPr>
            <w:r>
              <w:rPr>
                <w:rFonts w:hint="eastAsia" w:ascii="ＭＳ ゴシック" w:hAnsi="ＭＳ ゴシック" w:eastAsia="ＭＳ ゴシック"/>
                <w:spacing w:val="1"/>
                <w:w w:val="85"/>
                <w:kern w:val="0"/>
                <w:fitText w:val="2520" w:id="10"/>
              </w:rPr>
              <w:t>令和２年９月末時点の整備状</w:t>
            </w:r>
            <w:r>
              <w:rPr>
                <w:rFonts w:hint="eastAsia" w:ascii="ＭＳ ゴシック" w:hAnsi="ＭＳ ゴシック" w:eastAsia="ＭＳ ゴシック"/>
                <w:spacing w:val="6"/>
                <w:w w:val="85"/>
                <w:kern w:val="0"/>
                <w:fitText w:val="2520" w:id="10"/>
              </w:rPr>
              <w:t>況</w:t>
            </w:r>
            <w:r>
              <w:rPr>
                <w:rFonts w:hint="eastAsia" w:ascii="ＭＳ ゴシック" w:hAnsi="ＭＳ ゴシック" w:eastAsia="ＭＳ ゴシック"/>
              </w:rPr>
              <w:t>（人）</w:t>
            </w:r>
          </w:p>
        </w:tc>
        <w:tc>
          <w:tcPr>
            <w:tcW w:w="1086" w:type="dxa"/>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1086" w:type="dxa"/>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0</w:t>
            </w:r>
          </w:p>
        </w:tc>
        <w:tc>
          <w:tcPr>
            <w:tcW w:w="1087"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明朝" w:hAnsi="ＭＳ 明朝" w:eastAsia="ＭＳ 明朝"/>
              </w:rPr>
            </w:pPr>
            <w:r>
              <w:rPr>
                <w:rFonts w:hint="eastAsia" w:ascii="ＭＳ 明朝" w:hAnsi="ＭＳ 明朝" w:eastAsia="ＭＳ 明朝"/>
              </w:rPr>
              <w:t>0</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②地域密着型サービス</w:t>
      </w:r>
    </w:p>
    <w:p>
      <w:pPr>
        <w:pStyle w:val="0"/>
        <w:ind w:left="240" w:leftChars="100" w:firstLine="240"/>
        <w:jc w:val="both"/>
        <w:rPr>
          <w:rFonts w:hint="default"/>
        </w:rPr>
      </w:pPr>
      <w:r>
        <w:rPr>
          <w:rFonts w:hint="eastAsia"/>
        </w:rPr>
        <w:t>本市における第７期計画期間中の地域密着型サービス基盤の整備状況は図表</w:t>
      </w:r>
      <w:r>
        <w:rPr>
          <w:rFonts w:hint="eastAsia"/>
        </w:rPr>
        <w:t>6</w:t>
      </w:r>
      <w:r>
        <w:rPr>
          <w:rFonts w:hint="default"/>
        </w:rPr>
        <w:t>3</w:t>
      </w:r>
      <w:r>
        <w:rPr>
          <w:rFonts w:hint="eastAsia"/>
        </w:rPr>
        <w:t>のとおりです。</w:t>
      </w:r>
    </w:p>
    <w:p>
      <w:pPr>
        <w:pStyle w:val="0"/>
        <w:ind w:left="240" w:leftChars="100" w:firstLine="240"/>
        <w:rPr>
          <w:rFonts w:hint="default"/>
        </w:rPr>
      </w:pPr>
    </w:p>
    <w:p>
      <w:pPr>
        <w:pStyle w:val="0"/>
        <w:ind w:left="240" w:leftChars="10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3</w:t>
      </w:r>
      <w:r>
        <w:rPr>
          <w:rFonts w:hint="default" w:ascii="ＭＳ ゴシック" w:hAnsi="ＭＳ ゴシック" w:eastAsia="ＭＳ ゴシック"/>
          <w:sz w:val="21"/>
        </w:rPr>
        <w:t>：</w:t>
      </w:r>
      <w:r>
        <w:rPr>
          <w:rFonts w:hint="eastAsia" w:ascii="ＭＳ ゴシック" w:hAnsi="ＭＳ ゴシック" w:eastAsia="ＭＳ ゴシック"/>
          <w:sz w:val="21"/>
        </w:rPr>
        <w:t>地域密着型サービス基盤の整備状況（令和２</w:t>
      </w:r>
      <w:r>
        <w:rPr>
          <w:rFonts w:hint="default" w:ascii="ＭＳ ゴシック" w:hAnsi="ＭＳ ゴシック" w:eastAsia="ＭＳ ゴシック"/>
          <w:sz w:val="21"/>
        </w:rPr>
        <w:t>年</w:t>
      </w:r>
      <w:r>
        <w:rPr>
          <w:rFonts w:hint="eastAsia" w:ascii="ＭＳ ゴシック" w:hAnsi="ＭＳ ゴシック" w:eastAsia="ＭＳ ゴシック"/>
          <w:sz w:val="21"/>
        </w:rPr>
        <w:t>(2020</w:t>
      </w:r>
      <w:r>
        <w:rPr>
          <w:rFonts w:hint="eastAsia" w:ascii="ＭＳ ゴシック" w:hAnsi="ＭＳ ゴシック" w:eastAsia="ＭＳ ゴシック"/>
          <w:sz w:val="21"/>
        </w:rPr>
        <w:t>年</w:t>
      </w:r>
      <w:r>
        <w:rPr>
          <w:rFonts w:hint="eastAsia" w:ascii="ＭＳ ゴシック" w:hAnsi="ＭＳ ゴシック" w:eastAsia="ＭＳ ゴシック"/>
          <w:sz w:val="21"/>
        </w:rPr>
        <w:t>)</w:t>
      </w:r>
      <w:r>
        <w:rPr>
          <w:rFonts w:hint="eastAsia" w:ascii="ＭＳ ゴシック" w:hAnsi="ＭＳ ゴシック" w:eastAsia="ＭＳ ゴシック"/>
          <w:sz w:val="21"/>
        </w:rPr>
        <w:t>９</w:t>
      </w:r>
      <w:r>
        <w:rPr>
          <w:rFonts w:hint="default" w:ascii="ＭＳ ゴシック" w:hAnsi="ＭＳ ゴシック" w:eastAsia="ＭＳ ゴシック"/>
          <w:sz w:val="21"/>
        </w:rPr>
        <w:t>月</w:t>
      </w:r>
      <w:r>
        <w:rPr>
          <w:rFonts w:hint="eastAsia" w:ascii="ＭＳ ゴシック" w:hAnsi="ＭＳ ゴシック" w:eastAsia="ＭＳ ゴシック"/>
          <w:sz w:val="21"/>
        </w:rPr>
        <w:t>末</w:t>
      </w:r>
      <w:r>
        <w:rPr>
          <w:rFonts w:hint="default" w:ascii="ＭＳ ゴシック" w:hAnsi="ＭＳ ゴシック" w:eastAsia="ＭＳ ゴシック"/>
          <w:sz w:val="21"/>
        </w:rPr>
        <w:t>時点）</w:t>
      </w:r>
    </w:p>
    <w:tbl>
      <w:tblPr>
        <w:tblStyle w:val="60"/>
        <w:tblW w:w="9634" w:type="dxa"/>
        <w:tblInd w:w="0" w:type="dxa"/>
        <w:tblLayout w:type="fixed"/>
        <w:tblLook w:firstRow="1" w:lastRow="0" w:firstColumn="1" w:lastColumn="0" w:noHBand="0" w:noVBand="1" w:val="04A0"/>
      </w:tblPr>
      <w:tblGrid>
        <w:gridCol w:w="1948"/>
        <w:gridCol w:w="1921"/>
        <w:gridCol w:w="1922"/>
        <w:gridCol w:w="1921"/>
        <w:gridCol w:w="1922"/>
      </w:tblGrid>
      <w:tr>
        <w:trPr/>
        <w:tc>
          <w:tcPr>
            <w:tcW w:w="1948" w:type="dxa"/>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サービスの種類</w:t>
            </w:r>
          </w:p>
        </w:tc>
        <w:tc>
          <w:tcPr>
            <w:tcW w:w="1921" w:type="dxa"/>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rPr>
              <w:t>平成</w:t>
            </w:r>
            <w:r>
              <w:rPr>
                <w:rFonts w:hint="eastAsia" w:ascii="ＭＳ ゴシック" w:hAnsi="ＭＳ ゴシック" w:eastAsia="ＭＳ ゴシック"/>
              </w:rPr>
              <w:t>29</w:t>
            </w:r>
            <w:r>
              <w:rPr>
                <w:rFonts w:hint="default" w:ascii="ＭＳ ゴシック" w:hAnsi="ＭＳ ゴシック" w:eastAsia="ＭＳ ゴシック"/>
              </w:rPr>
              <w:t>年度末の</w:t>
            </w:r>
          </w:p>
          <w:p>
            <w:pPr>
              <w:pStyle w:val="0"/>
              <w:jc w:val="center"/>
              <w:rPr>
                <w:rFonts w:hint="default" w:ascii="ＭＳ ゴシック" w:hAnsi="ＭＳ ゴシック" w:eastAsia="ＭＳ ゴシック"/>
              </w:rPr>
            </w:pPr>
            <w:r>
              <w:rPr>
                <w:rFonts w:hint="default" w:ascii="ＭＳ ゴシック" w:hAnsi="ＭＳ ゴシック" w:eastAsia="ＭＳ ゴシック"/>
              </w:rPr>
              <w:t>整備状況</w:t>
            </w:r>
          </w:p>
        </w:tc>
        <w:tc>
          <w:tcPr>
            <w:tcW w:w="1922" w:type="dxa"/>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rPr>
              <w:t>第</w:t>
            </w:r>
            <w:r>
              <w:rPr>
                <w:rFonts w:hint="eastAsia" w:ascii="ＭＳ ゴシック" w:hAnsi="ＭＳ ゴシック" w:eastAsia="ＭＳ ゴシック"/>
              </w:rPr>
              <w:t>７</w:t>
            </w:r>
            <w:r>
              <w:rPr>
                <w:rFonts w:hint="default" w:ascii="ＭＳ ゴシック" w:hAnsi="ＭＳ ゴシック" w:eastAsia="ＭＳ ゴシック"/>
              </w:rPr>
              <w:t>期計画期間の整備方針</w:t>
            </w:r>
          </w:p>
        </w:tc>
        <w:tc>
          <w:tcPr>
            <w:tcW w:w="1921" w:type="dxa"/>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rPr>
              <w:t>第</w:t>
            </w:r>
            <w:r>
              <w:rPr>
                <w:rFonts w:hint="eastAsia" w:ascii="ＭＳ ゴシック" w:hAnsi="ＭＳ ゴシック" w:eastAsia="ＭＳ ゴシック"/>
              </w:rPr>
              <w:t>７</w:t>
            </w:r>
            <w:r>
              <w:rPr>
                <w:rFonts w:hint="default" w:ascii="ＭＳ ゴシック" w:hAnsi="ＭＳ ゴシック" w:eastAsia="ＭＳ ゴシック"/>
              </w:rPr>
              <w:t>期計画期間中の整備</w:t>
            </w:r>
          </w:p>
        </w:tc>
        <w:tc>
          <w:tcPr>
            <w:tcW w:w="1922" w:type="dxa"/>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令和２年９</w:t>
            </w:r>
            <w:r>
              <w:rPr>
                <w:rFonts w:hint="default" w:ascii="ＭＳ ゴシック" w:hAnsi="ＭＳ ゴシック" w:eastAsia="ＭＳ ゴシック"/>
              </w:rPr>
              <w:t>月末</w:t>
            </w:r>
          </w:p>
          <w:p>
            <w:pPr>
              <w:pStyle w:val="0"/>
              <w:jc w:val="center"/>
              <w:rPr>
                <w:rFonts w:hint="default" w:ascii="ＭＳ ゴシック" w:hAnsi="ＭＳ ゴシック" w:eastAsia="ＭＳ ゴシック"/>
              </w:rPr>
            </w:pPr>
            <w:r>
              <w:rPr>
                <w:rFonts w:hint="default" w:ascii="ＭＳ ゴシック" w:hAnsi="ＭＳ ゴシック" w:eastAsia="ＭＳ ゴシック"/>
              </w:rPr>
              <w:t>時点の整備状況</w:t>
            </w:r>
          </w:p>
        </w:tc>
      </w:tr>
      <w:tr>
        <w:trPr/>
        <w:tc>
          <w:tcPr>
            <w:tcW w:w="1948" w:type="dxa"/>
            <w:shd w:val="clear" w:color="auto" w:fill="BDD6EE"/>
            <w:vAlign w:val="center"/>
          </w:tcPr>
          <w:p>
            <w:pPr>
              <w:pStyle w:val="0"/>
              <w:rPr>
                <w:rFonts w:hint="default" w:ascii="ＭＳ ゴシック" w:hAnsi="ＭＳ ゴシック" w:eastAsia="ＭＳ ゴシック"/>
                <w:sz w:val="18"/>
              </w:rPr>
            </w:pPr>
            <w:r>
              <w:rPr>
                <w:rFonts w:hint="eastAsia" w:ascii="ＭＳ ゴシック" w:hAnsi="ＭＳ ゴシック" w:eastAsia="ＭＳ ゴシック"/>
                <w:sz w:val="18"/>
              </w:rPr>
              <w:t>定期巡回・随時対応型訪問介護看護</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１か所</w:t>
            </w:r>
          </w:p>
          <w:p>
            <w:pPr>
              <w:pStyle w:val="0"/>
              <w:rPr>
                <w:rFonts w:hint="default" w:ascii="ＭＳ 明朝" w:hAnsi="ＭＳ 明朝" w:eastAsia="ＭＳ 明朝"/>
                <w:sz w:val="18"/>
              </w:rPr>
            </w:pPr>
            <w:r>
              <w:rPr>
                <w:rFonts w:hint="eastAsia" w:ascii="ＭＳ 明朝" w:hAnsi="ＭＳ 明朝" w:eastAsia="ＭＳ 明朝"/>
                <w:sz w:val="18"/>
              </w:rPr>
              <w:t>（中東部圏域）</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新規整備なし</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１か所</w:t>
            </w:r>
          </w:p>
        </w:tc>
      </w:tr>
      <w:tr>
        <w:trPr>
          <w:trHeight w:val="700" w:hRule="atLeast"/>
        </w:trPr>
        <w:tc>
          <w:tcPr>
            <w:tcW w:w="1948" w:type="dxa"/>
            <w:shd w:val="clear" w:color="auto" w:fill="BDD6EE"/>
            <w:vAlign w:val="center"/>
          </w:tcPr>
          <w:p>
            <w:pPr>
              <w:pStyle w:val="0"/>
              <w:rPr>
                <w:rFonts w:hint="default" w:ascii="ＭＳ ゴシック" w:hAnsi="ＭＳ ゴシック" w:eastAsia="ＭＳ ゴシック"/>
                <w:sz w:val="18"/>
              </w:rPr>
            </w:pPr>
            <w:r>
              <w:rPr>
                <w:rFonts w:hint="eastAsia" w:ascii="ＭＳ ゴシック" w:hAnsi="ＭＳ ゴシック" w:eastAsia="ＭＳ ゴシック"/>
                <w:sz w:val="18"/>
              </w:rPr>
              <w:t>夜間対応型訪問介護</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新規整備なし</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r>
      <w:tr>
        <w:trPr/>
        <w:tc>
          <w:tcPr>
            <w:tcW w:w="1948" w:type="dxa"/>
            <w:shd w:val="clear" w:color="auto" w:fill="BDD6EE"/>
            <w:vAlign w:val="center"/>
          </w:tcPr>
          <w:p>
            <w:pPr>
              <w:pStyle w:val="0"/>
              <w:rPr>
                <w:rFonts w:hint="default" w:ascii="ＭＳ ゴシック" w:hAnsi="ＭＳ ゴシック" w:eastAsia="ＭＳ ゴシック"/>
                <w:sz w:val="18"/>
              </w:rPr>
            </w:pPr>
            <w:r>
              <w:rPr>
                <w:rFonts w:hint="eastAsia" w:ascii="ＭＳ ゴシック" w:hAnsi="ＭＳ ゴシック" w:eastAsia="ＭＳ ゴシック"/>
                <w:sz w:val="18"/>
              </w:rPr>
              <w:t>地域密着型通所介護</w:t>
            </w:r>
          </w:p>
        </w:tc>
        <w:tc>
          <w:tcPr>
            <w:tcW w:w="1921" w:type="dxa"/>
            <w:vAlign w:val="center"/>
          </w:tcPr>
          <w:p>
            <w:pPr>
              <w:pStyle w:val="0"/>
              <w:rPr>
                <w:rFonts w:hint="default" w:ascii="ＭＳ 明朝" w:hAnsi="ＭＳ 明朝" w:eastAsia="ＭＳ 明朝"/>
                <w:sz w:val="18"/>
              </w:rPr>
            </w:pPr>
            <w:r>
              <w:rPr>
                <w:rFonts w:hint="default" w:ascii="ＭＳ 明朝" w:hAnsi="ＭＳ 明朝" w:eastAsia="ＭＳ 明朝"/>
                <w:sz w:val="18"/>
              </w:rPr>
              <w:t>18</w:t>
            </w:r>
            <w:r>
              <w:rPr>
                <w:rFonts w:hint="default" w:ascii="ＭＳ 明朝" w:hAnsi="ＭＳ 明朝" w:eastAsia="ＭＳ 明朝"/>
                <w:sz w:val="18"/>
              </w:rPr>
              <w:t>か所</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事業者参入動向を見極めながら必要に応じて整備</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平成</w:t>
            </w:r>
            <w:r>
              <w:rPr>
                <w:rFonts w:hint="default" w:ascii="ＭＳ 明朝" w:hAnsi="ＭＳ 明朝" w:eastAsia="ＭＳ 明朝"/>
                <w:sz w:val="18"/>
              </w:rPr>
              <w:t>30</w:t>
            </w:r>
            <w:r>
              <w:rPr>
                <w:rFonts w:hint="default" w:ascii="ＭＳ 明朝" w:hAnsi="ＭＳ 明朝" w:eastAsia="ＭＳ 明朝"/>
                <w:sz w:val="18"/>
              </w:rPr>
              <w:t>年３月</w:t>
            </w:r>
            <w:r>
              <w:rPr>
                <w:rFonts w:hint="default" w:ascii="ＭＳ 明朝" w:hAnsi="ＭＳ 明朝" w:eastAsia="ＭＳ 明朝"/>
                <w:sz w:val="18"/>
              </w:rPr>
              <w:t>31</w:t>
            </w:r>
            <w:r>
              <w:rPr>
                <w:rFonts w:hint="default" w:ascii="ＭＳ 明朝" w:hAnsi="ＭＳ 明朝" w:eastAsia="ＭＳ 明朝"/>
                <w:sz w:val="18"/>
              </w:rPr>
              <w:t>日</w:t>
            </w:r>
          </w:p>
          <w:p>
            <w:pPr>
              <w:pStyle w:val="0"/>
              <w:rPr>
                <w:rFonts w:hint="default" w:ascii="ＭＳ 明朝" w:hAnsi="ＭＳ 明朝" w:eastAsia="ＭＳ 明朝"/>
                <w:sz w:val="18"/>
              </w:rPr>
            </w:pPr>
            <w:r>
              <w:rPr>
                <w:rFonts w:hint="eastAsia" w:ascii="ＭＳ 明朝" w:hAnsi="ＭＳ 明朝" w:eastAsia="ＭＳ 明朝"/>
                <w:sz w:val="18"/>
              </w:rPr>
              <w:t>廃止３か所</w:t>
            </w:r>
          </w:p>
        </w:tc>
        <w:tc>
          <w:tcPr>
            <w:tcW w:w="1922" w:type="dxa"/>
            <w:vAlign w:val="center"/>
          </w:tcPr>
          <w:p>
            <w:pPr>
              <w:pStyle w:val="0"/>
              <w:rPr>
                <w:rFonts w:hint="default" w:ascii="ＭＳ 明朝" w:hAnsi="ＭＳ 明朝" w:eastAsia="ＭＳ 明朝"/>
                <w:sz w:val="18"/>
              </w:rPr>
            </w:pPr>
            <w:r>
              <w:rPr>
                <w:rFonts w:hint="default" w:ascii="ＭＳ 明朝" w:hAnsi="ＭＳ 明朝" w:eastAsia="ＭＳ 明朝"/>
                <w:sz w:val="18"/>
              </w:rPr>
              <w:t>15</w:t>
            </w:r>
            <w:r>
              <w:rPr>
                <w:rFonts w:hint="default" w:ascii="ＭＳ 明朝" w:hAnsi="ＭＳ 明朝" w:eastAsia="ＭＳ 明朝"/>
                <w:sz w:val="18"/>
              </w:rPr>
              <w:t>か所</w:t>
            </w:r>
          </w:p>
        </w:tc>
      </w:tr>
      <w:tr>
        <w:trPr/>
        <w:tc>
          <w:tcPr>
            <w:tcW w:w="1948" w:type="dxa"/>
            <w:shd w:val="clear" w:color="auto" w:fill="BDD6EE"/>
            <w:vAlign w:val="center"/>
          </w:tcPr>
          <w:p>
            <w:pPr>
              <w:pStyle w:val="0"/>
              <w:rPr>
                <w:rFonts w:hint="default" w:ascii="ＭＳ ゴシック" w:hAnsi="ＭＳ ゴシック" w:eastAsia="ＭＳ ゴシック"/>
                <w:color w:val="000000" w:themeColor="text1"/>
                <w:sz w:val="18"/>
              </w:rPr>
            </w:pPr>
            <w:r>
              <w:rPr>
                <w:rFonts w:hint="eastAsia" w:ascii="ＭＳ ゴシック" w:hAnsi="ＭＳ ゴシック" w:eastAsia="ＭＳ ゴシック"/>
                <w:color w:val="000000" w:themeColor="text1"/>
                <w:sz w:val="18"/>
              </w:rPr>
              <w:t>（介護予防）認知症対応型通所介護（認知症対応デイサービス）</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３</w:t>
            </w:r>
            <w:r>
              <w:rPr>
                <w:rFonts w:hint="default" w:ascii="ＭＳ 明朝" w:hAnsi="ＭＳ 明朝" w:eastAsia="ＭＳ 明朝"/>
                <w:sz w:val="18"/>
              </w:rPr>
              <w:t>か所</w:t>
            </w:r>
          </w:p>
          <w:p>
            <w:pPr>
              <w:pStyle w:val="0"/>
              <w:rPr>
                <w:rFonts w:hint="default" w:ascii="ＭＳ 明朝" w:hAnsi="ＭＳ 明朝" w:eastAsia="ＭＳ 明朝"/>
                <w:sz w:val="18"/>
              </w:rPr>
            </w:pPr>
            <w:r>
              <w:rPr>
                <w:rFonts w:hint="eastAsia" w:ascii="ＭＳ 明朝" w:hAnsi="ＭＳ 明朝" w:eastAsia="ＭＳ 明朝"/>
                <w:sz w:val="18"/>
              </w:rPr>
              <w:t>（中西部、西部、中東部圏域に各１か所）</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事業者参入動向を見極めながら必要に応じて整備</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平成</w:t>
            </w:r>
            <w:r>
              <w:rPr>
                <w:rFonts w:hint="default" w:ascii="ＭＳ 明朝" w:hAnsi="ＭＳ 明朝" w:eastAsia="ＭＳ 明朝"/>
                <w:sz w:val="18"/>
              </w:rPr>
              <w:t>30</w:t>
            </w:r>
            <w:r>
              <w:rPr>
                <w:rFonts w:hint="default" w:ascii="ＭＳ 明朝" w:hAnsi="ＭＳ 明朝" w:eastAsia="ＭＳ 明朝"/>
                <w:sz w:val="18"/>
              </w:rPr>
              <w:t>年３月</w:t>
            </w:r>
            <w:r>
              <w:rPr>
                <w:rFonts w:hint="default" w:ascii="ＭＳ 明朝" w:hAnsi="ＭＳ 明朝" w:eastAsia="ＭＳ 明朝"/>
                <w:sz w:val="18"/>
              </w:rPr>
              <w:t>31</w:t>
            </w:r>
            <w:r>
              <w:rPr>
                <w:rFonts w:hint="default" w:ascii="ＭＳ 明朝" w:hAnsi="ＭＳ 明朝" w:eastAsia="ＭＳ 明朝"/>
                <w:sz w:val="18"/>
              </w:rPr>
              <w:t>日</w:t>
            </w:r>
          </w:p>
          <w:p>
            <w:pPr>
              <w:pStyle w:val="0"/>
              <w:rPr>
                <w:rFonts w:hint="default" w:ascii="ＭＳ 明朝" w:hAnsi="ＭＳ 明朝" w:eastAsia="ＭＳ 明朝"/>
                <w:sz w:val="18"/>
              </w:rPr>
            </w:pPr>
            <w:r>
              <w:rPr>
                <w:rFonts w:hint="eastAsia" w:ascii="ＭＳ 明朝" w:hAnsi="ＭＳ 明朝" w:eastAsia="ＭＳ 明朝"/>
                <w:sz w:val="18"/>
              </w:rPr>
              <w:t>廃止１か所</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２か所</w:t>
            </w:r>
          </w:p>
          <w:p>
            <w:pPr>
              <w:pStyle w:val="0"/>
              <w:rPr>
                <w:rFonts w:hint="default" w:ascii="ＭＳ 明朝" w:hAnsi="ＭＳ 明朝" w:eastAsia="ＭＳ 明朝"/>
                <w:sz w:val="18"/>
              </w:rPr>
            </w:pPr>
            <w:r>
              <w:rPr>
                <w:rFonts w:hint="eastAsia" w:ascii="ＭＳ 明朝" w:hAnsi="ＭＳ 明朝" w:eastAsia="ＭＳ 明朝"/>
                <w:sz w:val="18"/>
              </w:rPr>
              <w:t>（中西部、中東部圏域に各１か所）</w:t>
            </w:r>
          </w:p>
        </w:tc>
      </w:tr>
      <w:tr>
        <w:trPr/>
        <w:tc>
          <w:tcPr>
            <w:tcW w:w="1948" w:type="dxa"/>
            <w:shd w:val="clear" w:color="auto" w:fill="BDD6EE"/>
            <w:vAlign w:val="center"/>
          </w:tcPr>
          <w:p>
            <w:pPr>
              <w:pStyle w:val="0"/>
              <w:rPr>
                <w:rFonts w:hint="default" w:ascii="ＭＳ ゴシック" w:hAnsi="ＭＳ ゴシック" w:eastAsia="ＭＳ ゴシック"/>
                <w:color w:val="000000" w:themeColor="text1"/>
                <w:sz w:val="18"/>
              </w:rPr>
            </w:pPr>
            <w:r>
              <w:rPr>
                <w:rFonts w:hint="eastAsia" w:ascii="ＭＳ ゴシック" w:hAnsi="ＭＳ ゴシック" w:eastAsia="ＭＳ ゴシック"/>
                <w:color w:val="000000" w:themeColor="text1"/>
                <w:sz w:val="18"/>
              </w:rPr>
              <w:t>（介護予防）小規模多機能型居宅介護</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３か所</w:t>
            </w:r>
          </w:p>
          <w:p>
            <w:pPr>
              <w:pStyle w:val="0"/>
              <w:rPr>
                <w:rFonts w:hint="default" w:ascii="ＭＳ 明朝" w:hAnsi="ＭＳ 明朝" w:eastAsia="ＭＳ 明朝"/>
                <w:sz w:val="18"/>
              </w:rPr>
            </w:pPr>
            <w:r>
              <w:rPr>
                <w:rFonts w:hint="eastAsia" w:ascii="ＭＳ 明朝" w:hAnsi="ＭＳ 明朝" w:eastAsia="ＭＳ 明朝"/>
                <w:sz w:val="18"/>
              </w:rPr>
              <w:t>（西南、中西部、東部圏域に各１か所）</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市内全域を対象に</w:t>
            </w:r>
          </w:p>
          <w:p>
            <w:pPr>
              <w:pStyle w:val="0"/>
              <w:ind w:right="-120" w:rightChars="-50"/>
              <w:rPr>
                <w:rFonts w:hint="default" w:ascii="ＭＳ 明朝" w:hAnsi="ＭＳ 明朝" w:eastAsia="ＭＳ 明朝"/>
                <w:sz w:val="18"/>
              </w:rPr>
            </w:pPr>
            <w:r>
              <w:rPr>
                <w:rFonts w:hint="eastAsia" w:ascii="ＭＳ 明朝" w:hAnsi="ＭＳ 明朝" w:eastAsia="ＭＳ 明朝"/>
                <w:sz w:val="18"/>
              </w:rPr>
              <w:t>１</w:t>
            </w:r>
            <w:r>
              <w:rPr>
                <w:rFonts w:hint="default" w:ascii="ＭＳ 明朝" w:hAnsi="ＭＳ 明朝" w:eastAsia="ＭＳ 明朝"/>
                <w:sz w:val="18"/>
              </w:rPr>
              <w:t>事業所</w:t>
            </w:r>
            <w:r>
              <w:rPr>
                <w:rFonts w:hint="eastAsia" w:ascii="ＭＳ 明朝" w:hAnsi="ＭＳ 明朝" w:eastAsia="ＭＳ 明朝"/>
                <w:sz w:val="18"/>
              </w:rPr>
              <w:t>(</w:t>
            </w:r>
            <w:r>
              <w:rPr>
                <w:rFonts w:hint="default" w:ascii="ＭＳ 明朝" w:hAnsi="ＭＳ 明朝" w:eastAsia="ＭＳ 明朝"/>
                <w:sz w:val="18"/>
              </w:rPr>
              <w:t>定員</w:t>
            </w:r>
            <w:r>
              <w:rPr>
                <w:rFonts w:hint="eastAsia" w:ascii="ＭＳ 明朝" w:hAnsi="ＭＳ 明朝" w:eastAsia="ＭＳ 明朝"/>
                <w:sz w:val="18"/>
              </w:rPr>
              <w:t>25</w:t>
            </w:r>
            <w:r>
              <w:rPr>
                <w:rFonts w:hint="eastAsia" w:ascii="ＭＳ 明朝" w:hAnsi="ＭＳ 明朝" w:eastAsia="ＭＳ 明朝"/>
                <w:sz w:val="18"/>
              </w:rPr>
              <w:t>人</w:t>
            </w:r>
            <w:r>
              <w:rPr>
                <w:rFonts w:hint="eastAsia" w:ascii="ＭＳ 明朝" w:hAnsi="ＭＳ 明朝" w:eastAsia="ＭＳ 明朝"/>
                <w:sz w:val="18"/>
              </w:rPr>
              <w:t>)</w:t>
            </w:r>
            <w:r>
              <w:rPr>
                <w:rFonts w:hint="default" w:ascii="ＭＳ 明朝" w:hAnsi="ＭＳ 明朝" w:eastAsia="ＭＳ 明朝"/>
                <w:sz w:val="18"/>
              </w:rPr>
              <w:t>を募集</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応募なし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３か所</w:t>
            </w:r>
          </w:p>
        </w:tc>
      </w:tr>
      <w:tr>
        <w:trPr/>
        <w:tc>
          <w:tcPr>
            <w:tcW w:w="1948" w:type="dxa"/>
            <w:shd w:val="clear" w:color="auto" w:fill="BDD6EE"/>
            <w:vAlign w:val="center"/>
          </w:tcPr>
          <w:p>
            <w:pPr>
              <w:pStyle w:val="0"/>
              <w:rPr>
                <w:rFonts w:hint="default" w:ascii="ＭＳ ゴシック" w:hAnsi="ＭＳ ゴシック" w:eastAsia="ＭＳ ゴシック"/>
                <w:color w:val="000000" w:themeColor="text1"/>
                <w:sz w:val="18"/>
              </w:rPr>
            </w:pPr>
            <w:r>
              <w:rPr>
                <w:rFonts w:hint="eastAsia" w:ascii="ＭＳ ゴシック" w:hAnsi="ＭＳ ゴシック" w:eastAsia="ＭＳ ゴシック"/>
                <w:color w:val="000000" w:themeColor="text1"/>
                <w:sz w:val="18"/>
              </w:rPr>
              <w:t>（介護予防）認知症対応型共同生活介護（グループホーム）</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８か所</w:t>
            </w:r>
          </w:p>
          <w:p>
            <w:pPr>
              <w:pStyle w:val="0"/>
              <w:rPr>
                <w:rFonts w:hint="default" w:ascii="ＭＳ 明朝" w:hAnsi="ＭＳ 明朝" w:eastAsia="ＭＳ 明朝"/>
                <w:sz w:val="18"/>
              </w:rPr>
            </w:pPr>
            <w:r>
              <w:rPr>
                <w:rFonts w:hint="default" w:ascii="ＭＳ 明朝" w:hAnsi="ＭＳ 明朝" w:eastAsia="ＭＳ 明朝"/>
                <w:sz w:val="18"/>
              </w:rPr>
              <w:t>13</w:t>
            </w:r>
            <w:r>
              <w:rPr>
                <w:rFonts w:hint="default" w:ascii="ＭＳ 明朝" w:hAnsi="ＭＳ 明朝" w:eastAsia="ＭＳ 明朝"/>
                <w:sz w:val="18"/>
              </w:rPr>
              <w:t>ユニット</w:t>
            </w:r>
            <w:r>
              <w:rPr>
                <w:rFonts w:hint="eastAsia" w:ascii="ＭＳ 明朝" w:hAnsi="ＭＳ 明朝" w:eastAsia="ＭＳ 明朝"/>
                <w:sz w:val="18"/>
              </w:rPr>
              <w:t>(</w:t>
            </w:r>
            <w:r>
              <w:rPr>
                <w:rFonts w:hint="default" w:ascii="ＭＳ 明朝" w:hAnsi="ＭＳ 明朝" w:eastAsia="ＭＳ 明朝"/>
                <w:sz w:val="18"/>
              </w:rPr>
              <w:t>117</w:t>
            </w:r>
            <w:r>
              <w:rPr>
                <w:rFonts w:hint="default" w:ascii="ＭＳ 明朝" w:hAnsi="ＭＳ 明朝" w:eastAsia="ＭＳ 明朝"/>
                <w:sz w:val="18"/>
              </w:rPr>
              <w:t>人分</w:t>
            </w:r>
            <w:r>
              <w:rPr>
                <w:rFonts w:hint="eastAsia" w:ascii="ＭＳ 明朝" w:hAnsi="ＭＳ 明朝" w:eastAsia="ＭＳ 明朝"/>
                <w:sz w:val="18"/>
              </w:rPr>
              <w:t>)</w:t>
            </w:r>
            <w:r>
              <w:rPr>
                <w:rFonts w:hint="eastAsia" w:ascii="ＭＳ 明朝" w:hAnsi="ＭＳ 明朝" w:eastAsia="ＭＳ 明朝"/>
                <w:sz w:val="18"/>
              </w:rPr>
              <w:t>（西部３か所６ユニット、中西部２か所３ユニット、中東部２か所２ユニット、東部１か所２ユニット）</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新規整備なし</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８か所</w:t>
            </w:r>
          </w:p>
          <w:p>
            <w:pPr>
              <w:pStyle w:val="0"/>
              <w:ind w:right="-113" w:rightChars="-47"/>
              <w:rPr>
                <w:rFonts w:hint="default" w:ascii="ＭＳ 明朝" w:hAnsi="ＭＳ 明朝" w:eastAsia="ＭＳ 明朝"/>
                <w:sz w:val="18"/>
              </w:rPr>
            </w:pPr>
            <w:r>
              <w:rPr>
                <w:rFonts w:hint="default" w:ascii="ＭＳ 明朝" w:hAnsi="ＭＳ 明朝" w:eastAsia="ＭＳ 明朝"/>
                <w:sz w:val="18"/>
              </w:rPr>
              <w:t>13</w:t>
            </w:r>
            <w:r>
              <w:rPr>
                <w:rFonts w:hint="default" w:ascii="ＭＳ 明朝" w:hAnsi="ＭＳ 明朝" w:eastAsia="ＭＳ 明朝"/>
                <w:sz w:val="18"/>
              </w:rPr>
              <w:t>ユニット</w:t>
            </w:r>
            <w:r>
              <w:rPr>
                <w:rFonts w:hint="default" w:ascii="ＭＳ 明朝" w:hAnsi="ＭＳ 明朝" w:eastAsia="ＭＳ 明朝"/>
                <w:sz w:val="18"/>
              </w:rPr>
              <w:t>(117</w:t>
            </w:r>
            <w:r>
              <w:rPr>
                <w:rFonts w:hint="default" w:ascii="ＭＳ 明朝" w:hAnsi="ＭＳ 明朝" w:eastAsia="ＭＳ 明朝"/>
                <w:sz w:val="18"/>
              </w:rPr>
              <w:t>人分</w:t>
            </w:r>
            <w:r>
              <w:rPr>
                <w:rFonts w:hint="eastAsia" w:ascii="ＭＳ 明朝" w:hAnsi="ＭＳ 明朝" w:eastAsia="ＭＳ 明朝"/>
                <w:sz w:val="18"/>
              </w:rPr>
              <w:t>)</w:t>
            </w:r>
          </w:p>
        </w:tc>
      </w:tr>
      <w:tr>
        <w:trPr/>
        <w:tc>
          <w:tcPr>
            <w:tcW w:w="1948" w:type="dxa"/>
            <w:shd w:val="clear" w:color="auto" w:fill="BDD6EE"/>
            <w:vAlign w:val="center"/>
          </w:tcPr>
          <w:p>
            <w:pPr>
              <w:pStyle w:val="0"/>
              <w:rPr>
                <w:rFonts w:hint="default" w:ascii="ＭＳ ゴシック" w:hAnsi="ＭＳ ゴシック" w:eastAsia="ＭＳ ゴシック"/>
                <w:sz w:val="18"/>
              </w:rPr>
            </w:pPr>
            <w:r>
              <w:rPr>
                <w:rFonts w:hint="eastAsia" w:ascii="ＭＳ ゴシック" w:hAnsi="ＭＳ ゴシック" w:eastAsia="ＭＳ ゴシック"/>
                <w:sz w:val="18"/>
              </w:rPr>
              <w:t>地域密着型介護老人福祉施設（小規模特別養護老人ホーム）</w:t>
            </w:r>
          </w:p>
        </w:tc>
        <w:tc>
          <w:tcPr>
            <w:tcW w:w="1921" w:type="dxa"/>
            <w:vAlign w:val="center"/>
          </w:tcPr>
          <w:p>
            <w:pPr>
              <w:pStyle w:val="0"/>
              <w:rPr>
                <w:rFonts w:hint="default" w:ascii="ＭＳ 明朝" w:hAnsi="ＭＳ 明朝" w:eastAsia="ＭＳ 明朝"/>
                <w:sz w:val="18"/>
              </w:rPr>
            </w:pPr>
            <w:r>
              <w:rPr>
                <w:rFonts w:hint="default" w:ascii="ＭＳ 明朝" w:hAnsi="ＭＳ 明朝" w:eastAsia="ＭＳ 明朝"/>
                <w:sz w:val="18"/>
              </w:rPr>
              <w:t>1</w:t>
            </w:r>
            <w:r>
              <w:rPr>
                <w:rFonts w:hint="default" w:ascii="ＭＳ 明朝" w:hAnsi="ＭＳ 明朝" w:eastAsia="ＭＳ 明朝"/>
                <w:sz w:val="18"/>
              </w:rPr>
              <w:t>か所</w:t>
            </w:r>
          </w:p>
          <w:p>
            <w:pPr>
              <w:pStyle w:val="0"/>
              <w:rPr>
                <w:rFonts w:hint="default" w:ascii="ＭＳ 明朝" w:hAnsi="ＭＳ 明朝" w:eastAsia="ＭＳ 明朝"/>
                <w:sz w:val="18"/>
              </w:rPr>
            </w:pPr>
            <w:r>
              <w:rPr>
                <w:rFonts w:hint="default" w:ascii="ＭＳ 明朝" w:hAnsi="ＭＳ 明朝" w:eastAsia="ＭＳ 明朝"/>
                <w:sz w:val="18"/>
              </w:rPr>
              <w:t>（</w:t>
            </w:r>
            <w:r>
              <w:rPr>
                <w:rFonts w:hint="default" w:ascii="ＭＳ 明朝" w:hAnsi="ＭＳ 明朝" w:eastAsia="ＭＳ 明朝"/>
                <w:sz w:val="18"/>
              </w:rPr>
              <w:t>29</w:t>
            </w:r>
            <w:r>
              <w:rPr>
                <w:rFonts w:hint="default" w:ascii="ＭＳ 明朝" w:hAnsi="ＭＳ 明朝" w:eastAsia="ＭＳ 明朝"/>
                <w:sz w:val="18"/>
              </w:rPr>
              <w:t>人分）</w:t>
            </w:r>
          </w:p>
          <w:p>
            <w:pPr>
              <w:pStyle w:val="0"/>
              <w:rPr>
                <w:rFonts w:hint="default" w:ascii="ＭＳ 明朝" w:hAnsi="ＭＳ 明朝" w:eastAsia="ＭＳ 明朝"/>
                <w:sz w:val="18"/>
              </w:rPr>
            </w:pPr>
            <w:r>
              <w:rPr>
                <w:rFonts w:hint="eastAsia" w:ascii="ＭＳ 明朝" w:hAnsi="ＭＳ 明朝" w:eastAsia="ＭＳ 明朝"/>
                <w:sz w:val="18"/>
              </w:rPr>
              <w:t>（中西部圏域）</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新規整備なし</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default" w:ascii="ＭＳ 明朝" w:hAnsi="ＭＳ 明朝" w:eastAsia="ＭＳ 明朝"/>
                <w:sz w:val="18"/>
              </w:rPr>
              <w:t>1</w:t>
            </w:r>
            <w:r>
              <w:rPr>
                <w:rFonts w:hint="default" w:ascii="ＭＳ 明朝" w:hAnsi="ＭＳ 明朝" w:eastAsia="ＭＳ 明朝"/>
                <w:sz w:val="18"/>
              </w:rPr>
              <w:t>か所</w:t>
            </w:r>
          </w:p>
          <w:p>
            <w:pPr>
              <w:pStyle w:val="0"/>
              <w:rPr>
                <w:rFonts w:hint="default" w:ascii="ＭＳ 明朝" w:hAnsi="ＭＳ 明朝" w:eastAsia="ＭＳ 明朝"/>
                <w:sz w:val="18"/>
              </w:rPr>
            </w:pPr>
            <w:r>
              <w:rPr>
                <w:rFonts w:hint="default" w:ascii="ＭＳ 明朝" w:hAnsi="ＭＳ 明朝" w:eastAsia="ＭＳ 明朝"/>
                <w:sz w:val="18"/>
              </w:rPr>
              <w:t>（</w:t>
            </w:r>
            <w:r>
              <w:rPr>
                <w:rFonts w:hint="default" w:ascii="ＭＳ 明朝" w:hAnsi="ＭＳ 明朝" w:eastAsia="ＭＳ 明朝"/>
                <w:sz w:val="18"/>
              </w:rPr>
              <w:t>29</w:t>
            </w:r>
            <w:r>
              <w:rPr>
                <w:rFonts w:hint="default" w:ascii="ＭＳ 明朝" w:hAnsi="ＭＳ 明朝" w:eastAsia="ＭＳ 明朝"/>
                <w:sz w:val="18"/>
              </w:rPr>
              <w:t>人分）</w:t>
            </w:r>
          </w:p>
        </w:tc>
      </w:tr>
      <w:tr>
        <w:trPr/>
        <w:tc>
          <w:tcPr>
            <w:tcW w:w="1948" w:type="dxa"/>
            <w:shd w:val="clear" w:color="auto" w:fill="BDD6EE"/>
            <w:vAlign w:val="center"/>
          </w:tcPr>
          <w:p>
            <w:pPr>
              <w:pStyle w:val="0"/>
              <w:rPr>
                <w:rFonts w:hint="default" w:ascii="ＭＳ ゴシック" w:hAnsi="ＭＳ ゴシック" w:eastAsia="ＭＳ ゴシック"/>
                <w:sz w:val="18"/>
              </w:rPr>
            </w:pPr>
            <w:r>
              <w:rPr>
                <w:rFonts w:hint="eastAsia" w:ascii="ＭＳ ゴシック" w:hAnsi="ＭＳ ゴシック" w:eastAsia="ＭＳ ゴシック"/>
                <w:sz w:val="18"/>
              </w:rPr>
              <w:t>看護小規模多機能型居宅介護</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市内全域を対象に</w:t>
            </w:r>
          </w:p>
          <w:p>
            <w:pPr>
              <w:pStyle w:val="0"/>
              <w:ind w:right="-120" w:rightChars="-50"/>
              <w:rPr>
                <w:rFonts w:hint="default" w:ascii="ＭＳ 明朝" w:hAnsi="ＭＳ 明朝" w:eastAsia="ＭＳ 明朝"/>
                <w:sz w:val="18"/>
              </w:rPr>
            </w:pPr>
            <w:r>
              <w:rPr>
                <w:rFonts w:hint="eastAsia" w:ascii="ＭＳ 明朝" w:hAnsi="ＭＳ 明朝" w:eastAsia="ＭＳ 明朝"/>
                <w:sz w:val="18"/>
              </w:rPr>
              <w:t>１</w:t>
            </w:r>
            <w:r>
              <w:rPr>
                <w:rFonts w:hint="default" w:ascii="ＭＳ 明朝" w:hAnsi="ＭＳ 明朝" w:eastAsia="ＭＳ 明朝"/>
                <w:sz w:val="18"/>
              </w:rPr>
              <w:t>事業所</w:t>
            </w:r>
            <w:r>
              <w:rPr>
                <w:rFonts w:hint="eastAsia" w:ascii="ＭＳ 明朝" w:hAnsi="ＭＳ 明朝" w:eastAsia="ＭＳ 明朝"/>
                <w:sz w:val="18"/>
              </w:rPr>
              <w:t>(</w:t>
            </w:r>
            <w:r>
              <w:rPr>
                <w:rFonts w:hint="default" w:ascii="ＭＳ 明朝" w:hAnsi="ＭＳ 明朝" w:eastAsia="ＭＳ 明朝"/>
                <w:sz w:val="18"/>
              </w:rPr>
              <w:t>定員</w:t>
            </w:r>
            <w:r>
              <w:rPr>
                <w:rFonts w:hint="eastAsia" w:ascii="ＭＳ 明朝" w:hAnsi="ＭＳ 明朝" w:eastAsia="ＭＳ 明朝"/>
                <w:sz w:val="18"/>
              </w:rPr>
              <w:t>25</w:t>
            </w:r>
            <w:r>
              <w:rPr>
                <w:rFonts w:hint="eastAsia" w:ascii="ＭＳ 明朝" w:hAnsi="ＭＳ 明朝" w:eastAsia="ＭＳ 明朝"/>
                <w:sz w:val="18"/>
              </w:rPr>
              <w:t>人</w:t>
            </w:r>
            <w:r>
              <w:rPr>
                <w:rFonts w:hint="eastAsia" w:ascii="ＭＳ 明朝" w:hAnsi="ＭＳ 明朝" w:eastAsia="ＭＳ 明朝"/>
                <w:sz w:val="18"/>
              </w:rPr>
              <w:t>)</w:t>
            </w:r>
            <w:r>
              <w:rPr>
                <w:rFonts w:hint="default" w:ascii="ＭＳ 明朝" w:hAnsi="ＭＳ 明朝" w:eastAsia="ＭＳ 明朝"/>
                <w:sz w:val="18"/>
              </w:rPr>
              <w:t>を募集</w:t>
            </w:r>
          </w:p>
        </w:tc>
        <w:tc>
          <w:tcPr>
            <w:tcW w:w="1921" w:type="dxa"/>
            <w:vAlign w:val="center"/>
          </w:tcPr>
          <w:p>
            <w:pPr>
              <w:pStyle w:val="0"/>
              <w:rPr>
                <w:rFonts w:hint="default" w:ascii="ＭＳ 明朝" w:hAnsi="ＭＳ 明朝" w:eastAsia="ＭＳ 明朝"/>
                <w:sz w:val="18"/>
              </w:rPr>
            </w:pPr>
            <w:r>
              <w:rPr>
                <w:rFonts w:hint="eastAsia" w:ascii="ＭＳ 明朝" w:hAnsi="ＭＳ 明朝" w:eastAsia="ＭＳ 明朝"/>
                <w:sz w:val="18"/>
              </w:rPr>
              <w:t>応募なし</w:t>
            </w:r>
          </w:p>
        </w:tc>
        <w:tc>
          <w:tcPr>
            <w:tcW w:w="1922" w:type="dxa"/>
            <w:vAlign w:val="center"/>
          </w:tcPr>
          <w:p>
            <w:pPr>
              <w:pStyle w:val="0"/>
              <w:rPr>
                <w:rFonts w:hint="default" w:ascii="ＭＳ 明朝" w:hAnsi="ＭＳ 明朝" w:eastAsia="ＭＳ 明朝"/>
                <w:sz w:val="18"/>
              </w:rPr>
            </w:pPr>
            <w:r>
              <w:rPr>
                <w:rFonts w:hint="eastAsia" w:ascii="ＭＳ 明朝" w:hAnsi="ＭＳ 明朝" w:eastAsia="ＭＳ 明朝"/>
                <w:sz w:val="18"/>
              </w:rPr>
              <w:t>なし</w:t>
            </w:r>
          </w:p>
        </w:tc>
      </w:tr>
    </w:tbl>
    <w:p>
      <w:pPr>
        <w:pStyle w:val="0"/>
        <w:rPr>
          <w:rFonts w:hint="default"/>
        </w:rPr>
      </w:pPr>
    </w:p>
    <w:p>
      <w:pPr>
        <w:pStyle w:val="0"/>
        <w:rPr>
          <w:rFonts w:hint="default"/>
        </w:rPr>
      </w:pPr>
    </w:p>
    <w:p>
      <w:pPr>
        <w:pStyle w:val="0"/>
        <w:rPr>
          <w:rFonts w:hint="default"/>
        </w:rPr>
      </w:pPr>
    </w:p>
    <w:p>
      <w:pPr>
        <w:pStyle w:val="0"/>
        <w:ind w:firstLine="240" w:firstLineChars="100"/>
        <w:rPr>
          <w:rFonts w:hint="default" w:ascii="ＭＳ ゴシック" w:hAnsi="ＭＳ ゴシック" w:eastAsia="ＭＳ ゴシック"/>
        </w:rPr>
      </w:pPr>
      <w:r>
        <w:rPr>
          <w:rFonts w:hint="eastAsia" w:ascii="ＭＳ ゴシック" w:hAnsi="ＭＳ ゴシック" w:eastAsia="ＭＳ ゴシック"/>
        </w:rPr>
        <w:t>③居宅サービス</w:t>
      </w:r>
    </w:p>
    <w:p>
      <w:pPr>
        <w:pStyle w:val="0"/>
        <w:ind w:left="240" w:leftChars="100" w:firstLine="240" w:firstLineChars="100"/>
        <w:jc w:val="both"/>
        <w:rPr>
          <w:rFonts w:hint="default"/>
        </w:rPr>
      </w:pPr>
      <w:r>
        <w:rPr>
          <w:rFonts w:hint="eastAsia"/>
        </w:rPr>
        <w:t>本市における第７期計画期間中の主な居宅サービス基盤の整備状況は図表</w:t>
      </w:r>
      <w:r>
        <w:rPr>
          <w:rFonts w:hint="eastAsia"/>
        </w:rPr>
        <w:t>6</w:t>
      </w:r>
      <w:r>
        <w:rPr>
          <w:rFonts w:hint="default"/>
        </w:rPr>
        <w:t>4</w:t>
      </w:r>
      <w:r>
        <w:rPr>
          <w:rFonts w:hint="eastAsia"/>
        </w:rPr>
        <w:t>のとおりです。なお、居宅サービスについては、市において基盤整備にかかる制限等は設けていません。</w: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4</w:t>
      </w:r>
      <w:r>
        <w:rPr>
          <w:rFonts w:hint="default" w:ascii="ＭＳ ゴシック" w:hAnsi="ＭＳ ゴシック" w:eastAsia="ＭＳ ゴシック"/>
          <w:sz w:val="21"/>
        </w:rPr>
        <w:t>：</w:t>
      </w:r>
      <w:r>
        <w:rPr>
          <w:rFonts w:hint="eastAsia" w:ascii="ＭＳ ゴシック" w:hAnsi="ＭＳ ゴシック" w:eastAsia="ＭＳ ゴシック"/>
          <w:sz w:val="21"/>
        </w:rPr>
        <w:t>居宅サービス基盤の整備状況（令和２</w:t>
      </w:r>
      <w:r>
        <w:rPr>
          <w:rFonts w:hint="default" w:ascii="ＭＳ ゴシック" w:hAnsi="ＭＳ ゴシック" w:eastAsia="ＭＳ ゴシック"/>
          <w:sz w:val="21"/>
        </w:rPr>
        <w:t>年</w:t>
      </w:r>
      <w:r>
        <w:rPr>
          <w:rFonts w:hint="eastAsia" w:ascii="ＭＳ ゴシック" w:hAnsi="ＭＳ ゴシック" w:eastAsia="ＭＳ ゴシック"/>
          <w:sz w:val="21"/>
        </w:rPr>
        <w:t>(</w:t>
      </w:r>
      <w:r>
        <w:rPr>
          <w:rFonts w:hint="default" w:ascii="ＭＳ ゴシック" w:hAnsi="ＭＳ ゴシック" w:eastAsia="ＭＳ ゴシック"/>
          <w:sz w:val="21"/>
        </w:rPr>
        <w:t>20</w:t>
      </w:r>
      <w:r>
        <w:rPr>
          <w:rFonts w:hint="eastAsia" w:ascii="ＭＳ ゴシック" w:hAnsi="ＭＳ ゴシック" w:eastAsia="ＭＳ ゴシック"/>
          <w:sz w:val="21"/>
        </w:rPr>
        <w:t>20</w:t>
      </w:r>
      <w:r>
        <w:rPr>
          <w:rFonts w:hint="eastAsia" w:ascii="ＭＳ ゴシック" w:hAnsi="ＭＳ ゴシック" w:eastAsia="ＭＳ ゴシック"/>
          <w:sz w:val="21"/>
        </w:rPr>
        <w:t>年</w:t>
      </w:r>
      <w:r>
        <w:rPr>
          <w:rFonts w:hint="default" w:ascii="ＭＳ ゴシック" w:hAnsi="ＭＳ ゴシック" w:eastAsia="ＭＳ ゴシック"/>
          <w:sz w:val="21"/>
        </w:rPr>
        <w:t>)</w:t>
      </w:r>
      <w:r>
        <w:rPr>
          <w:rFonts w:hint="eastAsia" w:ascii="ＭＳ ゴシック" w:hAnsi="ＭＳ ゴシック" w:eastAsia="ＭＳ ゴシック"/>
          <w:sz w:val="21"/>
        </w:rPr>
        <w:t>９</w:t>
      </w:r>
      <w:r>
        <w:rPr>
          <w:rFonts w:hint="default" w:ascii="ＭＳ ゴシック" w:hAnsi="ＭＳ ゴシック" w:eastAsia="ＭＳ ゴシック"/>
          <w:sz w:val="21"/>
        </w:rPr>
        <w:t>月</w:t>
      </w:r>
      <w:r>
        <w:rPr>
          <w:rFonts w:hint="eastAsia" w:ascii="ＭＳ ゴシック" w:hAnsi="ＭＳ ゴシック" w:eastAsia="ＭＳ ゴシック"/>
          <w:sz w:val="21"/>
        </w:rPr>
        <w:t>末</w:t>
      </w:r>
      <w:r>
        <w:rPr>
          <w:rFonts w:hint="default" w:ascii="ＭＳ ゴシック" w:hAnsi="ＭＳ ゴシック" w:eastAsia="ＭＳ ゴシック"/>
          <w:sz w:val="21"/>
        </w:rPr>
        <w:t>時点）</w:t>
      </w:r>
    </w:p>
    <w:tbl>
      <w:tblPr>
        <w:tblStyle w:val="60"/>
        <w:tblW w:w="9634" w:type="dxa"/>
        <w:tblInd w:w="0" w:type="dxa"/>
        <w:tblLayout w:type="fixed"/>
        <w:tblLook w:firstRow="1" w:lastRow="0" w:firstColumn="1" w:lastColumn="0" w:noHBand="0" w:noVBand="1" w:val="04A0"/>
      </w:tblPr>
      <w:tblGrid>
        <w:gridCol w:w="846"/>
        <w:gridCol w:w="1701"/>
        <w:gridCol w:w="885"/>
        <w:gridCol w:w="886"/>
        <w:gridCol w:w="886"/>
        <w:gridCol w:w="886"/>
        <w:gridCol w:w="886"/>
        <w:gridCol w:w="886"/>
        <w:gridCol w:w="886"/>
        <w:gridCol w:w="886"/>
      </w:tblGrid>
      <w:tr>
        <w:trPr>
          <w:cantSplit/>
          <w:trHeight w:val="2359" w:hRule="atLeast"/>
        </w:trPr>
        <w:tc>
          <w:tcPr>
            <w:tcW w:w="2547" w:type="dxa"/>
            <w:gridSpan w:val="2"/>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種別</w:t>
            </w:r>
          </w:p>
        </w:tc>
        <w:tc>
          <w:tcPr>
            <w:tcW w:w="885"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居宅介護支援</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（ケアマネジメント）</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訪問介護</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（ホームヘルプ）</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訪問看護</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訪問リハビリ</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通所介護</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（デイサービス）</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通所リハビリ</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（デイケア）</w:t>
            </w:r>
          </w:p>
        </w:tc>
        <w:tc>
          <w:tcPr>
            <w:tcW w:w="886" w:type="dxa"/>
            <w:shd w:val="clear" w:color="auto" w:themeFill="accent5" w:themeFillTint="66" w:themeFillShade="FF"/>
            <w:textDirection w:val="tbRlV"/>
            <w:vAlign w:val="top"/>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短期入所生活介護</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（ショートステイ）</w:t>
            </w:r>
          </w:p>
        </w:tc>
        <w:tc>
          <w:tcPr>
            <w:tcW w:w="886" w:type="dxa"/>
            <w:shd w:val="clear" w:color="auto" w:themeFill="accent5" w:themeFillTint="66" w:themeFillShade="FF"/>
            <w:textDirection w:val="tbRlV"/>
            <w:vAlign w:val="center"/>
          </w:tcPr>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短期入所療養介護</w:t>
            </w:r>
          </w:p>
          <w:p>
            <w:pPr>
              <w:pStyle w:val="0"/>
              <w:ind w:left="113" w:right="113"/>
              <w:jc w:val="both"/>
              <w:rPr>
                <w:rFonts w:hint="default" w:ascii="ＭＳ ゴシック" w:hAnsi="ＭＳ ゴシック" w:eastAsia="ＭＳ ゴシック"/>
              </w:rPr>
            </w:pPr>
            <w:r>
              <w:rPr>
                <w:rFonts w:hint="eastAsia" w:ascii="ＭＳ ゴシック" w:hAnsi="ＭＳ ゴシック" w:eastAsia="ＭＳ ゴシック"/>
              </w:rPr>
              <w:t>（ショートステイ）</w:t>
            </w:r>
          </w:p>
        </w:tc>
      </w:tr>
      <w:tr>
        <w:trPr/>
        <w:tc>
          <w:tcPr>
            <w:tcW w:w="846"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西部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箕面小学校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6</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8</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西小学校</w:t>
            </w:r>
          </w:p>
        </w:tc>
        <w:tc>
          <w:tcPr>
            <w:tcW w:w="885" w:type="dxa"/>
            <w:vAlign w:val="top"/>
          </w:tcPr>
          <w:p>
            <w:pPr>
              <w:pStyle w:val="0"/>
              <w:jc w:val="right"/>
              <w:rPr>
                <w:rFonts w:hint="default" w:ascii="ＭＳ 明朝" w:hAnsi="ＭＳ 明朝" w:eastAsia="ＭＳ 明朝"/>
              </w:rPr>
            </w:pPr>
            <w:r>
              <w:rPr>
                <w:rFonts w:hint="eastAsia" w:ascii="ＭＳ 明朝" w:hAnsi="ＭＳ 明朝" w:eastAsia="ＭＳ 明朝"/>
              </w:rPr>
              <w:t>5</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7</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4</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restart"/>
            <w:shd w:val="clear" w:color="auto" w:themeFill="accent5" w:themeFillTint="66" w:themeFillShade="FF"/>
            <w:vAlign w:val="center"/>
          </w:tcPr>
          <w:p>
            <w:pPr>
              <w:pStyle w:val="0"/>
              <w:ind w:left="0" w:leftChars="-104" w:right="-245" w:rightChars="-102" w:hanging="250" w:hangingChars="119"/>
              <w:jc w:val="center"/>
              <w:rPr>
                <w:rFonts w:hint="default" w:ascii="ＭＳ ゴシック" w:hAnsi="ＭＳ ゴシック" w:eastAsia="ＭＳ ゴシック"/>
              </w:rPr>
            </w:pPr>
            <w:r>
              <w:rPr>
                <w:rFonts w:hint="eastAsia" w:ascii="ＭＳ ゴシック" w:hAnsi="ＭＳ ゴシック" w:eastAsia="ＭＳ ゴシック"/>
              </w:rPr>
              <w:t xml:space="preserve"> </w:t>
            </w:r>
            <w:r>
              <w:rPr>
                <w:rFonts w:hint="eastAsia" w:ascii="ＭＳ ゴシック" w:hAnsi="ＭＳ ゴシック" w:eastAsia="ＭＳ ゴシック"/>
              </w:rPr>
              <w:t>北部・</w:t>
            </w:r>
          </w:p>
          <w:p>
            <w:pPr>
              <w:pStyle w:val="0"/>
              <w:ind w:left="-1" w:leftChars="-45" w:hanging="107" w:hangingChars="51"/>
              <w:jc w:val="center"/>
              <w:rPr>
                <w:rFonts w:hint="default" w:ascii="ＭＳ ゴシック" w:hAnsi="ＭＳ ゴシック" w:eastAsia="ＭＳ ゴシック"/>
              </w:rPr>
            </w:pPr>
            <w:r>
              <w:rPr>
                <w:rFonts w:hint="eastAsia" w:ascii="ＭＳ ゴシック" w:hAnsi="ＭＳ ゴシック" w:eastAsia="ＭＳ ゴシック"/>
              </w:rPr>
              <w:t>西南</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止々呂美小学校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南小学校</w:t>
            </w:r>
          </w:p>
        </w:tc>
        <w:tc>
          <w:tcPr>
            <w:tcW w:w="885" w:type="dxa"/>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4</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西南小学校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3</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3</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3</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中西部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5</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1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北小学校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中小学校</w:t>
            </w:r>
          </w:p>
        </w:tc>
        <w:tc>
          <w:tcPr>
            <w:tcW w:w="885" w:type="dxa"/>
            <w:vAlign w:val="top"/>
          </w:tcPr>
          <w:p>
            <w:pPr>
              <w:pStyle w:val="0"/>
              <w:jc w:val="right"/>
              <w:rPr>
                <w:rFonts w:hint="default" w:ascii="ＭＳ 明朝" w:hAnsi="ＭＳ 明朝" w:eastAsia="ＭＳ 明朝"/>
              </w:rPr>
            </w:pPr>
            <w:r>
              <w:rPr>
                <w:rFonts w:hint="eastAsia" w:ascii="ＭＳ 明朝" w:hAnsi="ＭＳ 明朝" w:eastAsia="ＭＳ 明朝"/>
              </w:rPr>
              <w:t>7</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r>
              <w:rPr>
                <w:rFonts w:hint="eastAsia"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5</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中東部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萱野北小学校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萱野東小学校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9</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10</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6</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4</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3</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1 </w:t>
            </w:r>
          </w:p>
        </w:tc>
      </w:tr>
      <w:tr>
        <w:trPr/>
        <w:tc>
          <w:tcPr>
            <w:tcW w:w="846" w:type="dxa"/>
            <w:vMerge w:val="continue"/>
            <w:shd w:val="clear" w:color="auto" w:themeFill="accent5" w:themeFillTint="66" w:themeFillShade="FF"/>
            <w:vAlign w:val="center"/>
          </w:tcPr>
          <w:p>
            <w:pPr>
              <w:pStyle w:val="0"/>
              <w:jc w:val="center"/>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豊川南小学校</w:t>
            </w:r>
          </w:p>
        </w:tc>
        <w:tc>
          <w:tcPr>
            <w:tcW w:w="885"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restart"/>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東部</w:t>
            </w: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東小学校</w:t>
            </w:r>
          </w:p>
        </w:tc>
        <w:tc>
          <w:tcPr>
            <w:tcW w:w="885" w:type="dxa"/>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846" w:type="dxa"/>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1701" w:type="dxa"/>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豊川北小学校</w:t>
            </w:r>
          </w:p>
        </w:tc>
        <w:tc>
          <w:tcPr>
            <w:tcW w:w="885" w:type="dxa"/>
            <w:vAlign w:val="top"/>
          </w:tcPr>
          <w:p>
            <w:pPr>
              <w:pStyle w:val="0"/>
              <w:jc w:val="right"/>
              <w:rPr>
                <w:rFonts w:hint="default" w:ascii="ＭＳ 明朝" w:hAnsi="ＭＳ 明朝" w:eastAsia="ＭＳ 明朝"/>
              </w:rPr>
            </w:pPr>
            <w:r>
              <w:rPr>
                <w:rFonts w:hint="eastAsia" w:ascii="ＭＳ 明朝" w:hAnsi="ＭＳ 明朝" w:eastAsia="ＭＳ 明朝"/>
              </w:rPr>
              <w:t>3</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4</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1</w:t>
            </w:r>
          </w:p>
        </w:tc>
        <w:tc>
          <w:tcPr>
            <w:tcW w:w="886" w:type="dxa"/>
            <w:vAlign w:val="top"/>
          </w:tcPr>
          <w:p>
            <w:pPr>
              <w:pStyle w:val="0"/>
              <w:jc w:val="right"/>
              <w:rPr>
                <w:rFonts w:hint="default" w:ascii="ＭＳ 明朝" w:hAnsi="ＭＳ 明朝" w:eastAsia="ＭＳ 明朝"/>
              </w:rPr>
            </w:pPr>
            <w:r>
              <w:rPr>
                <w:rFonts w:hint="eastAsia"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2</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vAlign w:val="top"/>
          </w:tcPr>
          <w:p>
            <w:pPr>
              <w:pStyle w:val="0"/>
              <w:jc w:val="right"/>
              <w:rPr>
                <w:rFonts w:hint="default" w:ascii="ＭＳ 明朝" w:hAnsi="ＭＳ 明朝" w:eastAsia="ＭＳ 明朝"/>
              </w:rPr>
            </w:pPr>
            <w:r>
              <w:rPr>
                <w:rFonts w:hint="default" w:ascii="ＭＳ 明朝" w:hAnsi="ＭＳ 明朝" w:eastAsia="ＭＳ 明朝"/>
              </w:rPr>
              <w:t xml:space="preserve">2 </w:t>
            </w:r>
          </w:p>
        </w:tc>
      </w:tr>
      <w:tr>
        <w:trPr/>
        <w:tc>
          <w:tcPr>
            <w:tcW w:w="846" w:type="dxa"/>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p>
        </w:tc>
        <w:tc>
          <w:tcPr>
            <w:tcW w:w="170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彩都の丘小学校</w:t>
            </w:r>
          </w:p>
        </w:tc>
        <w:tc>
          <w:tcPr>
            <w:tcW w:w="885"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0</w:t>
            </w:r>
          </w:p>
        </w:tc>
        <w:tc>
          <w:tcPr>
            <w:tcW w:w="886"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 xml:space="preserve">0 </w:t>
            </w:r>
          </w:p>
        </w:tc>
      </w:tr>
      <w:tr>
        <w:trPr/>
        <w:tc>
          <w:tcPr>
            <w:tcW w:w="2547" w:type="dxa"/>
            <w:gridSpan w:val="2"/>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合計</w:t>
            </w:r>
          </w:p>
        </w:tc>
        <w:tc>
          <w:tcPr>
            <w:tcW w:w="885"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42</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56</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16</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3</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28</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6</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6</w:t>
            </w:r>
          </w:p>
        </w:tc>
        <w:tc>
          <w:tcPr>
            <w:tcW w:w="886" w:type="dxa"/>
            <w:tcBorders>
              <w:top w:val="double" w:color="auto" w:sz="4"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 xml:space="preserve">4 </w:t>
            </w:r>
          </w:p>
        </w:tc>
      </w:tr>
      <w:tr>
        <w:trPr/>
        <w:tc>
          <w:tcPr>
            <w:tcW w:w="2547"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66"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定員（人）</w:t>
            </w:r>
          </w:p>
        </w:tc>
        <w:tc>
          <w:tcPr>
            <w:tcW w:w="885"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 xml:space="preserve">793 </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166</w:t>
            </w:r>
            <w:r>
              <w:rPr>
                <w:rFonts w:hint="default" w:ascii="ＭＳ 明朝" w:hAnsi="ＭＳ 明朝" w:eastAsia="ＭＳ 明朝"/>
              </w:rPr>
              <w:t xml:space="preserve"> </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default" w:ascii="ＭＳ 明朝" w:hAnsi="ＭＳ 明朝" w:eastAsia="ＭＳ 明朝"/>
              </w:rPr>
              <w:t xml:space="preserve">67 </w:t>
            </w:r>
          </w:p>
        </w:tc>
        <w:tc>
          <w:tcPr>
            <w:tcW w:w="886" w:type="dxa"/>
            <w:tcBorders>
              <w:top w:val="doub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rPr>
            </w:pPr>
            <w:r>
              <w:rPr>
                <w:rFonts w:hint="eastAsia" w:ascii="ＭＳ 明朝" w:hAnsi="ＭＳ 明朝" w:eastAsia="ＭＳ 明朝"/>
              </w:rPr>
              <w:t>-</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5"/>
        <w:ind w:left="0" w:leftChars="0" w:firstLine="240" w:firstLineChars="100"/>
        <w:rPr>
          <w:rFonts w:hint="default" w:ascii="ＭＳ ゴシック" w:hAnsi="ＭＳ ゴシック" w:eastAsia="ＭＳ ゴシック"/>
        </w:rPr>
      </w:pPr>
      <w:bookmarkStart w:id="40" w:name="_Toc59007771"/>
      <w:r>
        <w:rPr>
          <w:rFonts w:hint="eastAsia" w:ascii="ＭＳ ゴシック" w:hAnsi="ＭＳ ゴシック" w:eastAsia="ＭＳ ゴシック"/>
        </w:rPr>
        <w:t>ウ）サービスの給付実績</w:t>
      </w:r>
      <w:bookmarkEnd w:id="40"/>
    </w:p>
    <w:p>
      <w:pPr>
        <w:pStyle w:val="0"/>
        <w:ind w:firstLine="480" w:firstLineChars="200"/>
        <w:jc w:val="both"/>
        <w:rPr>
          <w:rFonts w:hint="default"/>
        </w:rPr>
      </w:pPr>
      <w:r>
        <w:rPr>
          <w:rFonts w:hint="eastAsia"/>
        </w:rPr>
        <w:t>各サービスの給付実績は、図表</w:t>
      </w:r>
      <w:r>
        <w:rPr>
          <w:rFonts w:hint="eastAsia"/>
        </w:rPr>
        <w:t>6</w:t>
      </w:r>
      <w:r>
        <w:rPr>
          <w:rFonts w:hint="default"/>
        </w:rPr>
        <w:t>5</w:t>
      </w:r>
      <w:r>
        <w:rPr>
          <w:rFonts w:hint="eastAsia"/>
        </w:rPr>
        <w:t>～図表</w:t>
      </w:r>
      <w:r>
        <w:rPr>
          <w:rFonts w:hint="eastAsia"/>
        </w:rPr>
        <w:t>7</w:t>
      </w:r>
      <w:r>
        <w:rPr>
          <w:rFonts w:hint="default"/>
        </w:rPr>
        <w:t>1</w:t>
      </w:r>
      <w:r>
        <w:rPr>
          <w:rFonts w:hint="eastAsia"/>
        </w:rPr>
        <w:t>のとおりです。</w: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5</w:t>
      </w:r>
      <w:r>
        <w:rPr>
          <w:rFonts w:hint="default" w:ascii="ＭＳ ゴシック" w:hAnsi="ＭＳ ゴシック" w:eastAsia="ＭＳ ゴシック"/>
          <w:sz w:val="21"/>
        </w:rPr>
        <w:t>：</w:t>
      </w:r>
      <w:r>
        <w:rPr>
          <w:rFonts w:hint="eastAsia" w:ascii="ＭＳ ゴシック" w:hAnsi="ＭＳ ゴシック" w:eastAsia="ＭＳ ゴシック"/>
          <w:sz w:val="21"/>
        </w:rPr>
        <w:t>居宅サービス（介護給付費）の給付実績</w:t>
      </w:r>
    </w:p>
    <w:p>
      <w:pPr>
        <w:pStyle w:val="0"/>
        <w:jc w:val="center"/>
        <w:rPr>
          <w:rFonts w:hint="default"/>
        </w:rPr>
      </w:pPr>
      <w:r>
        <w:rPr>
          <w:rFonts w:hint="default"/>
        </w:rPr>
        <w:drawing>
          <wp:inline distT="0" distB="0" distL="0" distR="0">
            <wp:extent cx="6188710" cy="7211695"/>
            <wp:effectExtent l="0" t="0" r="0" b="0"/>
            <wp:docPr id="1111" name="Picture 28"/>
            <a:graphic xmlns:a="http://schemas.openxmlformats.org/drawingml/2006/main">
              <a:graphicData uri="http://schemas.openxmlformats.org/drawingml/2006/picture">
                <pic:pic xmlns:pic="http://schemas.openxmlformats.org/drawingml/2006/picture">
                  <pic:nvPicPr>
                    <pic:cNvPr id="1111" name="Picture 28"/>
                    <pic:cNvPicPr>
                      <a:picLocks noChangeAspect="1" noChangeArrowheads="1"/>
                    </pic:cNvPicPr>
                  </pic:nvPicPr>
                  <pic:blipFill>
                    <a:blip r:embed="rId68"/>
                    <a:stretch>
                      <a:fillRect/>
                    </a:stretch>
                  </pic:blipFill>
                  <pic:spPr>
                    <a:xfrm>
                      <a:off x="0" y="0"/>
                      <a:ext cx="6188710" cy="7211695"/>
                    </a:xfrm>
                    <a:prstGeom prst="rect">
                      <a:avLst/>
                    </a:prstGeom>
                    <a:noFill/>
                    <a:ln>
                      <a:noFill/>
                    </a:ln>
                  </pic:spPr>
                </pic:pic>
              </a:graphicData>
            </a:graphic>
          </wp:inline>
        </w:drawing>
      </w:r>
    </w:p>
    <w:p>
      <w:pPr>
        <w:pStyle w:val="0"/>
        <w:rPr>
          <w:rFonts w:hint="default"/>
        </w:rPr>
      </w:pP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6</w:t>
      </w:r>
      <w:r>
        <w:rPr>
          <w:rFonts w:hint="default" w:ascii="ＭＳ ゴシック" w:hAnsi="ＭＳ ゴシック" w:eastAsia="ＭＳ ゴシック"/>
          <w:sz w:val="21"/>
        </w:rPr>
        <w:t>：</w:t>
      </w:r>
      <w:r>
        <w:rPr>
          <w:rFonts w:hint="eastAsia" w:ascii="ＭＳ ゴシック" w:hAnsi="ＭＳ ゴシック" w:eastAsia="ＭＳ ゴシック"/>
          <w:sz w:val="21"/>
        </w:rPr>
        <w:t>居宅サービス（介護予防給付費）の給付実績</w:t>
      </w:r>
    </w:p>
    <w:p>
      <w:pPr>
        <w:pStyle w:val="0"/>
        <w:jc w:val="center"/>
        <w:rPr>
          <w:rFonts w:hint="default"/>
        </w:rPr>
      </w:pPr>
      <w:r>
        <w:rPr>
          <w:rFonts w:hint="default"/>
        </w:rPr>
        <w:drawing>
          <wp:inline distT="0" distB="0" distL="0" distR="0">
            <wp:extent cx="6188710" cy="5729605"/>
            <wp:effectExtent l="0" t="0" r="0" b="0"/>
            <wp:docPr id="1112" name="Picture 29"/>
            <a:graphic xmlns:a="http://schemas.openxmlformats.org/drawingml/2006/main">
              <a:graphicData uri="http://schemas.openxmlformats.org/drawingml/2006/picture">
                <pic:pic xmlns:pic="http://schemas.openxmlformats.org/drawingml/2006/picture">
                  <pic:nvPicPr>
                    <pic:cNvPr id="1112" name="Picture 29"/>
                    <pic:cNvPicPr>
                      <a:picLocks noChangeAspect="1" noChangeArrowheads="1"/>
                    </pic:cNvPicPr>
                  </pic:nvPicPr>
                  <pic:blipFill>
                    <a:blip r:embed="rId69"/>
                    <a:stretch>
                      <a:fillRect/>
                    </a:stretch>
                  </pic:blipFill>
                  <pic:spPr>
                    <a:xfrm>
                      <a:off x="0" y="0"/>
                      <a:ext cx="6188710" cy="5729605"/>
                    </a:xfrm>
                    <a:prstGeom prst="rect">
                      <a:avLst/>
                    </a:prstGeom>
                    <a:noFill/>
                    <a:ln>
                      <a:noFill/>
                    </a:ln>
                  </pic:spPr>
                </pic:pic>
              </a:graphicData>
            </a:graphic>
          </wp:inline>
        </w:drawing>
      </w:r>
    </w:p>
    <w:p>
      <w:pPr>
        <w:pStyle w:val="0"/>
        <w:ind w:firstLine="100" w:firstLineChars="50"/>
        <w:jc w:val="both"/>
        <w:rPr>
          <w:rFonts w:hint="default"/>
          <w:sz w:val="20"/>
        </w:rPr>
      </w:pPr>
      <w:r>
        <w:rPr>
          <w:rFonts w:hint="eastAsia"/>
          <w:sz w:val="20"/>
        </w:rPr>
        <w:t>※給付費は年間累計の金額、回（日）数は年間累計の回（日）数、人数は年間累計の人数</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7</w:t>
      </w:r>
      <w:r>
        <w:rPr>
          <w:rFonts w:hint="default" w:ascii="ＭＳ ゴシック" w:hAnsi="ＭＳ ゴシック" w:eastAsia="ＭＳ ゴシック"/>
          <w:sz w:val="21"/>
        </w:rPr>
        <w:t>：</w:t>
      </w:r>
      <w:r>
        <w:rPr>
          <w:rFonts w:hint="eastAsia" w:ascii="ＭＳ ゴシック" w:hAnsi="ＭＳ ゴシック" w:eastAsia="ＭＳ ゴシック"/>
          <w:sz w:val="21"/>
        </w:rPr>
        <w:t>施設サービスの給付実績</w:t>
      </w:r>
    </w:p>
    <w:p>
      <w:pPr>
        <w:pStyle w:val="0"/>
        <w:jc w:val="center"/>
        <w:rPr>
          <w:rFonts w:hint="default"/>
        </w:rPr>
      </w:pPr>
      <w:r>
        <w:rPr>
          <w:rFonts w:hint="default"/>
        </w:rPr>
        <w:drawing>
          <wp:inline distT="0" distB="0" distL="0" distR="0">
            <wp:extent cx="6188710" cy="1941830"/>
            <wp:effectExtent l="0" t="0" r="0" b="0"/>
            <wp:docPr id="1113" name="Picture 30"/>
            <a:graphic xmlns:a="http://schemas.openxmlformats.org/drawingml/2006/main">
              <a:graphicData uri="http://schemas.openxmlformats.org/drawingml/2006/picture">
                <pic:pic xmlns:pic="http://schemas.openxmlformats.org/drawingml/2006/picture">
                  <pic:nvPicPr>
                    <pic:cNvPr id="1113" name="Picture 30"/>
                    <pic:cNvPicPr>
                      <a:picLocks noChangeAspect="1" noChangeArrowheads="1"/>
                    </pic:cNvPicPr>
                  </pic:nvPicPr>
                  <pic:blipFill>
                    <a:blip r:embed="rId70"/>
                    <a:stretch>
                      <a:fillRect/>
                    </a:stretch>
                  </pic:blipFill>
                  <pic:spPr>
                    <a:xfrm>
                      <a:off x="0" y="0"/>
                      <a:ext cx="6188710" cy="1941830"/>
                    </a:xfrm>
                    <a:prstGeom prst="rect">
                      <a:avLst/>
                    </a:prstGeom>
                    <a:noFill/>
                    <a:ln>
                      <a:noFill/>
                    </a:ln>
                  </pic:spPr>
                </pic:pic>
              </a:graphicData>
            </a:graphic>
          </wp:inline>
        </w:drawing>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6</w:t>
      </w:r>
      <w:r>
        <w:rPr>
          <w:rFonts w:hint="default" w:ascii="ＭＳ ゴシック" w:hAnsi="ＭＳ ゴシック" w:eastAsia="ＭＳ ゴシック"/>
          <w:sz w:val="21"/>
        </w:rPr>
        <w:t>8</w:t>
      </w:r>
      <w:r>
        <w:rPr>
          <w:rFonts w:hint="default" w:ascii="ＭＳ ゴシック" w:hAnsi="ＭＳ ゴシック" w:eastAsia="ＭＳ ゴシック"/>
          <w:sz w:val="21"/>
        </w:rPr>
        <w:t>：</w:t>
      </w:r>
      <w:r>
        <w:rPr>
          <w:rFonts w:hint="eastAsia" w:ascii="ＭＳ ゴシック" w:hAnsi="ＭＳ ゴシック" w:eastAsia="ＭＳ ゴシック"/>
          <w:sz w:val="21"/>
        </w:rPr>
        <w:t>地域密着型サービスの給付実績</w:t>
      </w:r>
    </w:p>
    <w:p>
      <w:pPr>
        <w:pStyle w:val="0"/>
        <w:jc w:val="center"/>
        <w:rPr>
          <w:rFonts w:hint="default"/>
        </w:rPr>
      </w:pPr>
      <w:r>
        <w:rPr>
          <w:rFonts w:hint="default"/>
        </w:rPr>
        <w:drawing>
          <wp:inline distT="0" distB="0" distL="0" distR="0">
            <wp:extent cx="6188710" cy="5708650"/>
            <wp:effectExtent l="0" t="0" r="0" b="0"/>
            <wp:docPr id="1114" name="Picture 31"/>
            <a:graphic xmlns:a="http://schemas.openxmlformats.org/drawingml/2006/main">
              <a:graphicData uri="http://schemas.openxmlformats.org/drawingml/2006/picture">
                <pic:pic xmlns:pic="http://schemas.openxmlformats.org/drawingml/2006/picture">
                  <pic:nvPicPr>
                    <pic:cNvPr id="1114" name="Picture 31"/>
                    <pic:cNvPicPr>
                      <a:picLocks noChangeAspect="1" noChangeArrowheads="1"/>
                    </pic:cNvPicPr>
                  </pic:nvPicPr>
                  <pic:blipFill>
                    <a:blip r:embed="rId71"/>
                    <a:stretch>
                      <a:fillRect/>
                    </a:stretch>
                  </pic:blipFill>
                  <pic:spPr>
                    <a:xfrm>
                      <a:off x="0" y="0"/>
                      <a:ext cx="6188710" cy="5708650"/>
                    </a:xfrm>
                    <a:prstGeom prst="rect">
                      <a:avLst/>
                    </a:prstGeom>
                    <a:noFill/>
                    <a:ln>
                      <a:noFill/>
                    </a:ln>
                  </pic:spPr>
                </pic:pic>
              </a:graphicData>
            </a:graphic>
          </wp:inline>
        </w:drawing>
      </w:r>
    </w:p>
    <w:p>
      <w:pPr>
        <w:pStyle w:val="0"/>
        <w:ind w:firstLine="840" w:firstLineChars="400"/>
        <w:rPr>
          <w:rFonts w:hint="default" w:ascii="ＭＳ ゴシック" w:hAnsi="ＭＳ ゴシック" w:eastAsia="ＭＳ ゴシック"/>
          <w:color w:val="000000" w:themeColor="text1"/>
          <w:sz w:val="21"/>
        </w:rPr>
      </w:pPr>
    </w:p>
    <w:p>
      <w:pPr>
        <w:pStyle w:val="0"/>
        <w:ind w:firstLine="840" w:firstLineChars="4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6</w:t>
      </w:r>
      <w:r>
        <w:rPr>
          <w:rFonts w:hint="default" w:ascii="ＭＳ ゴシック" w:hAnsi="ＭＳ ゴシック" w:eastAsia="ＭＳ ゴシック"/>
          <w:color w:val="000000" w:themeColor="text1"/>
          <w:sz w:val="21"/>
        </w:rPr>
        <w:t>9</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総合事業の給付実績①</w:t>
      </w:r>
      <w:r>
        <w:rPr>
          <w:rFonts w:hint="eastAsia" w:ascii="ＭＳ ゴシック" w:hAnsi="ＭＳ ゴシック" w:eastAsia="ＭＳ ゴシック"/>
          <w:color w:val="000000" w:themeColor="text1"/>
          <w:sz w:val="21"/>
        </w:rPr>
        <w:t xml:space="preserve"> </w:t>
      </w:r>
      <w:r>
        <w:rPr>
          <w:rFonts w:hint="default"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0</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総合事業の給付実績②</w:t>
      </w:r>
    </w:p>
    <w:p>
      <w:pPr>
        <w:pStyle w:val="0"/>
        <w:rPr>
          <w:rFonts w:hint="default" w:ascii="ＭＳ ゴシック" w:hAnsi="ＭＳ ゴシック" w:eastAsia="ＭＳ ゴシック"/>
          <w:color w:val="000000" w:themeColor="text1"/>
          <w:sz w:val="21"/>
        </w:rPr>
      </w:pPr>
      <w:r>
        <w:rPr>
          <w:rFonts w:hint="default"/>
          <w:color w:val="C00000"/>
        </w:rPr>
        <w:drawing>
          <wp:anchor distT="0" distB="0" distL="114300" distR="114300" simplePos="0" relativeHeight="39" behindDoc="0" locked="0" layoutInCell="1" hidden="0" allowOverlap="1">
            <wp:simplePos x="0" y="0"/>
            <wp:positionH relativeFrom="column">
              <wp:posOffset>3319145</wp:posOffset>
            </wp:positionH>
            <wp:positionV relativeFrom="paragraph">
              <wp:posOffset>96520</wp:posOffset>
            </wp:positionV>
            <wp:extent cx="2728595" cy="1794510"/>
            <wp:effectExtent l="0" t="0" r="0" b="0"/>
            <wp:wrapNone/>
            <wp:docPr id="1115" name="Picture 33"/>
            <a:graphic xmlns:a="http://schemas.openxmlformats.org/drawingml/2006/main">
              <a:graphicData uri="http://schemas.openxmlformats.org/drawingml/2006/picture">
                <pic:pic xmlns:pic="http://schemas.openxmlformats.org/drawingml/2006/picture">
                  <pic:nvPicPr>
                    <pic:cNvPr id="1115" name="Picture 33"/>
                    <pic:cNvPicPr>
                      <a:picLocks noChangeAspect="1" noChangeArrowheads="1"/>
                    </pic:cNvPicPr>
                  </pic:nvPicPr>
                  <pic:blipFill>
                    <a:blip r:embed="rId72"/>
                    <a:stretch>
                      <a:fillRect/>
                    </a:stretch>
                  </pic:blipFill>
                  <pic:spPr>
                    <a:xfrm>
                      <a:off x="0" y="0"/>
                      <a:ext cx="2728595" cy="1794510"/>
                    </a:xfrm>
                    <a:prstGeom prst="rect">
                      <a:avLst/>
                    </a:prstGeom>
                    <a:noFill/>
                    <a:ln>
                      <a:noFill/>
                    </a:ln>
                  </pic:spPr>
                </pic:pic>
              </a:graphicData>
            </a:graphic>
          </wp:anchor>
        </w:drawing>
      </w:r>
      <w:r>
        <w:rPr>
          <w:rFonts w:hint="default" w:ascii="ＭＳ ゴシック" w:hAnsi="ＭＳ ゴシック" w:eastAsia="ＭＳ ゴシック"/>
          <w:color w:val="000000" w:themeColor="text1"/>
          <w:sz w:val="21"/>
        </w:rPr>
        <w:drawing>
          <wp:inline distT="0" distB="0" distL="0" distR="0">
            <wp:extent cx="2728595" cy="1385570"/>
            <wp:effectExtent l="0" t="0" r="0" b="0"/>
            <wp:docPr id="1116" name="Picture 32"/>
            <a:graphic xmlns:a="http://schemas.openxmlformats.org/drawingml/2006/main">
              <a:graphicData uri="http://schemas.openxmlformats.org/drawingml/2006/picture">
                <pic:pic xmlns:pic="http://schemas.openxmlformats.org/drawingml/2006/picture">
                  <pic:nvPicPr>
                    <pic:cNvPr id="1116" name="Picture 32"/>
                    <pic:cNvPicPr>
                      <a:picLocks noChangeAspect="1" noChangeArrowheads="1"/>
                    </pic:cNvPicPr>
                  </pic:nvPicPr>
                  <pic:blipFill>
                    <a:blip r:embed="rId73"/>
                    <a:stretch>
                      <a:fillRect/>
                    </a:stretch>
                  </pic:blipFill>
                  <pic:spPr>
                    <a:xfrm>
                      <a:off x="0" y="0"/>
                      <a:ext cx="2728595" cy="1385570"/>
                    </a:xfrm>
                    <a:prstGeom prst="rect">
                      <a:avLst/>
                    </a:prstGeom>
                    <a:noFill/>
                    <a:ln>
                      <a:noFill/>
                    </a:ln>
                  </pic:spPr>
                </pic:pic>
              </a:graphicData>
            </a:graphic>
          </wp:inline>
        </w:drawing>
      </w:r>
    </w:p>
    <w:p>
      <w:pPr>
        <w:pStyle w:val="0"/>
        <w:rPr>
          <w:rFonts w:hint="default"/>
          <w:color w:val="C00000"/>
        </w:rPr>
      </w:pPr>
    </w:p>
    <w:p>
      <w:pPr>
        <w:pStyle w:val="0"/>
        <w:rPr>
          <w:rFonts w:hint="default"/>
          <w:color w:val="C00000"/>
        </w:rPr>
      </w:pPr>
    </w:p>
    <w:p>
      <w:pPr>
        <w:pStyle w:val="0"/>
        <w:ind w:firstLine="840" w:firstLineChars="400"/>
        <w:rPr>
          <w:rFonts w:hint="default"/>
          <w:color w:val="C00000"/>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1</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総合事業の給付実績③</w:t>
      </w:r>
    </w:p>
    <w:p>
      <w:pPr>
        <w:pStyle w:val="0"/>
        <w:rPr>
          <w:rFonts w:hint="default"/>
        </w:rPr>
      </w:pPr>
      <w:r>
        <w:rPr>
          <w:rFonts w:hint="default"/>
        </w:rPr>
        <w:drawing>
          <wp:inline distT="0" distB="0" distL="0" distR="0">
            <wp:extent cx="2728595" cy="571500"/>
            <wp:effectExtent l="0" t="0" r="0" b="0"/>
            <wp:docPr id="1117" name="Picture 34"/>
            <a:graphic xmlns:a="http://schemas.openxmlformats.org/drawingml/2006/main">
              <a:graphicData uri="http://schemas.openxmlformats.org/drawingml/2006/picture">
                <pic:pic xmlns:pic="http://schemas.openxmlformats.org/drawingml/2006/picture">
                  <pic:nvPicPr>
                    <pic:cNvPr id="1117" name="Picture 34"/>
                    <pic:cNvPicPr>
                      <a:picLocks noChangeAspect="1" noChangeArrowheads="1"/>
                    </pic:cNvPicPr>
                  </pic:nvPicPr>
                  <pic:blipFill>
                    <a:blip r:embed="rId74"/>
                    <a:stretch>
                      <a:fillRect/>
                    </a:stretch>
                  </pic:blipFill>
                  <pic:spPr>
                    <a:xfrm>
                      <a:off x="0" y="0"/>
                      <a:ext cx="2728595" cy="571500"/>
                    </a:xfrm>
                    <a:prstGeom prst="rect">
                      <a:avLst/>
                    </a:prstGeom>
                    <a:noFill/>
                    <a:ln>
                      <a:noFill/>
                    </a:ln>
                  </pic:spPr>
                </pic:pic>
              </a:graphicData>
            </a:graphic>
          </wp:inline>
        </w:drawing>
      </w:r>
    </w:p>
    <w:p>
      <w:pPr>
        <w:pStyle w:val="0"/>
        <w:rPr>
          <w:rFonts w:hint="default"/>
        </w:rPr>
      </w:pPr>
    </w:p>
    <w:p>
      <w:pPr>
        <w:pStyle w:val="4"/>
        <w:ind w:left="0" w:leftChars="0"/>
        <w:rPr>
          <w:rFonts w:hint="default" w:ascii="メイリオ" w:hAnsi="メイリオ" w:eastAsia="メイリオ"/>
          <w:b w:val="0"/>
          <w:sz w:val="28"/>
        </w:rPr>
      </w:pPr>
      <w:bookmarkStart w:id="41" w:name="_Toc59007772"/>
      <w:r>
        <w:rPr>
          <w:rFonts w:hint="eastAsia" w:ascii="メイリオ" w:hAnsi="メイリオ" w:eastAsia="メイリオ"/>
          <w:b w:val="0"/>
          <w:sz w:val="28"/>
        </w:rPr>
        <w:t>（２）主な重点施策・事業の取組状況</w:t>
      </w:r>
      <w:bookmarkEnd w:id="41"/>
    </w:p>
    <w:p>
      <w:pPr>
        <w:pStyle w:val="5"/>
        <w:ind w:left="0" w:leftChars="0" w:firstLine="240" w:firstLineChars="100"/>
        <w:rPr>
          <w:rFonts w:hint="default" w:ascii="ＭＳ ゴシック" w:hAnsi="ＭＳ ゴシック" w:eastAsia="ＭＳ ゴシック"/>
        </w:rPr>
      </w:pPr>
      <w:bookmarkStart w:id="42" w:name="_Toc59007773"/>
      <w:r>
        <w:rPr>
          <w:rFonts w:hint="eastAsia" w:ascii="ＭＳ ゴシック" w:hAnsi="ＭＳ ゴシック" w:eastAsia="ＭＳ ゴシック"/>
        </w:rPr>
        <w:t>ア）健康で生きがいのある暮らしの推進</w:t>
      </w:r>
      <w:bookmarkEnd w:id="42"/>
    </w:p>
    <w:p>
      <w:pPr>
        <w:pStyle w:val="6"/>
        <w:ind w:left="0" w:leftChars="0" w:firstLine="480" w:firstLineChars="200"/>
        <w:rPr>
          <w:rFonts w:hint="default" w:ascii="ＭＳ ゴシック" w:hAnsi="ＭＳ ゴシック" w:eastAsia="ＭＳ ゴシック"/>
          <w:b w:val="0"/>
        </w:rPr>
      </w:pPr>
      <w:r>
        <w:rPr>
          <w:rFonts w:hint="default" w:ascii="ＭＳ ゴシック" w:hAnsi="ＭＳ ゴシック" w:eastAsia="ＭＳ ゴシック"/>
          <w:b w:val="0"/>
        </w:rPr>
        <w:t>a</w:t>
      </w:r>
      <w:r>
        <w:rPr>
          <w:rFonts w:hint="eastAsia" w:ascii="ＭＳ ゴシック" w:hAnsi="ＭＳ ゴシック" w:eastAsia="ＭＳ ゴシック"/>
          <w:b w:val="0"/>
        </w:rPr>
        <w:t>）健康づくりと生活習慣病予防の推進</w:t>
      </w:r>
    </w:p>
    <w:p>
      <w:pPr>
        <w:pStyle w:val="0"/>
        <w:ind w:left="480" w:hanging="480" w:hangingChars="200"/>
        <w:jc w:val="both"/>
        <w:rPr>
          <w:rFonts w:hint="default"/>
        </w:rPr>
      </w:pPr>
      <w:r>
        <w:rPr>
          <w:rFonts w:hint="eastAsia"/>
        </w:rPr>
        <w:t>　　　高齢者の健康づくりについては、平成</w:t>
      </w:r>
      <w:r>
        <w:rPr>
          <w:rFonts w:hint="eastAsia"/>
        </w:rPr>
        <w:t>30</w:t>
      </w:r>
      <w:r>
        <w:rPr>
          <w:rFonts w:hint="eastAsia"/>
        </w:rPr>
        <w:t>年度</w:t>
      </w:r>
      <w:r>
        <w:rPr>
          <w:rFonts w:hint="eastAsia"/>
        </w:rPr>
        <w:t>(2018</w:t>
      </w:r>
      <w:r>
        <w:rPr>
          <w:rFonts w:hint="eastAsia"/>
        </w:rPr>
        <w:t>年度</w:t>
      </w:r>
      <w:r>
        <w:rPr>
          <w:rFonts w:hint="eastAsia"/>
        </w:rPr>
        <w:t>)</w:t>
      </w:r>
      <w:r>
        <w:rPr>
          <w:rFonts w:hint="eastAsia"/>
        </w:rPr>
        <w:t>に介護予防や健康長寿をテーマにした「健康長寿フォーラム」を開催し、市民に広く、生活習慣病予防や介護予防について、普及啓発を進めました。また、平成</w:t>
      </w:r>
      <w:r>
        <w:rPr>
          <w:rFonts w:hint="eastAsia"/>
        </w:rPr>
        <w:t>30</w:t>
      </w:r>
      <w:r>
        <w:rPr>
          <w:rFonts w:hint="eastAsia"/>
        </w:rPr>
        <w:t>年度</w:t>
      </w:r>
      <w:r>
        <w:rPr>
          <w:rFonts w:hint="eastAsia"/>
        </w:rPr>
        <w:t>(2018</w:t>
      </w:r>
      <w:r>
        <w:rPr>
          <w:rFonts w:hint="eastAsia"/>
        </w:rPr>
        <w:t>年度</w:t>
      </w:r>
      <w:r>
        <w:rPr>
          <w:rFonts w:hint="eastAsia"/>
        </w:rPr>
        <w:t>)</w:t>
      </w:r>
      <w:r>
        <w:rPr>
          <w:rFonts w:hint="eastAsia"/>
        </w:rPr>
        <w:t>に実施した「高齢者基本健康調査」の結果を基に、生活習慣病予防に向けたアンチエイジングセミナー「血管若返りコース」を令和元年度</w:t>
      </w:r>
      <w:r>
        <w:rPr>
          <w:rFonts w:hint="eastAsia"/>
        </w:rPr>
        <w:t>(2019</w:t>
      </w:r>
      <w:r>
        <w:rPr>
          <w:rFonts w:hint="eastAsia"/>
        </w:rPr>
        <w:t>年度</w:t>
      </w:r>
      <w:r>
        <w:rPr>
          <w:rFonts w:hint="eastAsia"/>
        </w:rPr>
        <w:t>)</w:t>
      </w:r>
      <w:r>
        <w:rPr>
          <w:rFonts w:hint="eastAsia"/>
        </w:rPr>
        <w:t>に新設しました。</w:t>
      </w:r>
    </w:p>
    <w:p>
      <w:pPr>
        <w:pStyle w:val="0"/>
        <w:ind w:left="480" w:leftChars="200" w:right="-34" w:rightChars="-14" w:firstLine="240" w:firstLineChars="100"/>
        <w:jc w:val="both"/>
        <w:rPr>
          <w:rFonts w:hint="default"/>
        </w:rPr>
      </w:pPr>
      <w:r>
        <w:rPr>
          <w:rFonts w:hint="eastAsia"/>
        </w:rPr>
        <w:t>また、令和元年度</w:t>
      </w:r>
      <w:r>
        <w:rPr>
          <w:rFonts w:hint="eastAsia"/>
        </w:rPr>
        <w:t>(2019</w:t>
      </w:r>
      <w:r>
        <w:rPr>
          <w:rFonts w:hint="eastAsia"/>
        </w:rPr>
        <w:t>年度</w:t>
      </w:r>
      <w:r>
        <w:rPr>
          <w:rFonts w:hint="eastAsia"/>
        </w:rPr>
        <w:t>)</w:t>
      </w:r>
      <w:r>
        <w:rPr>
          <w:rFonts w:hint="eastAsia"/>
        </w:rPr>
        <w:t>からは箕面シニア塾にスポーツコースを新設したほか、稲ふれあいセンターや各地域で運動トレーナーによる体操指導を行い、介護予防の必要性に気づき、取り組むための環境づくりに努めました。</w:t>
      </w:r>
    </w:p>
    <w:p>
      <w:pPr>
        <w:pStyle w:val="0"/>
        <w:rPr>
          <w:rFonts w:hint="default"/>
        </w:rPr>
      </w:pPr>
    </w:p>
    <w:p>
      <w:pPr>
        <w:pStyle w:val="6"/>
        <w:ind w:left="0" w:leftChars="0" w:firstLine="480" w:firstLineChars="200"/>
        <w:rPr>
          <w:rFonts w:hint="default"/>
        </w:rPr>
      </w:pPr>
      <w:r>
        <w:rPr>
          <w:rFonts w:hint="default" w:ascii="ＭＳ ゴシック" w:hAnsi="ＭＳ ゴシック" w:eastAsia="ＭＳ ゴシック"/>
          <w:b w:val="0"/>
        </w:rPr>
        <w:t>b</w:t>
      </w:r>
      <w:r>
        <w:rPr>
          <w:rFonts w:hint="eastAsia" w:ascii="ＭＳ ゴシック" w:hAnsi="ＭＳ ゴシック" w:eastAsia="ＭＳ ゴシック"/>
          <w:b w:val="0"/>
        </w:rPr>
        <w:t>）自立支援、介護予防・重度化防止の推進</w:t>
      </w:r>
    </w:p>
    <w:p>
      <w:pPr>
        <w:pStyle w:val="0"/>
        <w:ind w:left="480" w:leftChars="100" w:hanging="240" w:hangingChars="100"/>
        <w:jc w:val="both"/>
        <w:rPr>
          <w:rFonts w:hint="default"/>
        </w:rPr>
      </w:pPr>
      <w:r>
        <w:rPr>
          <w:rFonts w:hint="eastAsia"/>
        </w:rPr>
        <w:t>　　介護保険制度の基本理念である「自立支援」（自らの有する能力を最大限生かして、自立した日常生活を居宅において送ることをめざす考えかた）を主眼に置きながら、様々なアプローチにより介護予防・重度化防止を推進しました。</w:t>
      </w:r>
    </w:p>
    <w:p>
      <w:pPr>
        <w:pStyle w:val="0"/>
        <w:ind w:left="240" w:leftChars="100"/>
        <w:rPr>
          <w:rFonts w:hint="default"/>
        </w:rPr>
      </w:pPr>
    </w:p>
    <w:p>
      <w:pPr>
        <w:pStyle w:val="0"/>
        <w:ind w:left="240" w:leftChars="100"/>
        <w:rPr>
          <w:rFonts w:hint="default"/>
        </w:rPr>
      </w:pPr>
    </w:p>
    <w:p>
      <w:pPr>
        <w:pStyle w:val="0"/>
        <w:ind w:left="240" w:leftChars="100"/>
        <w:rPr>
          <w:rFonts w:hint="default"/>
        </w:rPr>
      </w:pPr>
    </w:p>
    <w:p>
      <w:pPr>
        <w:pStyle w:val="0"/>
        <w:ind w:left="240" w:leftChars="100"/>
        <w:rPr>
          <w:rFonts w:hint="default"/>
        </w:rPr>
      </w:pPr>
    </w:p>
    <w:p>
      <w:pPr>
        <w:pStyle w:val="0"/>
        <w:ind w:left="240" w:leftChars="100"/>
        <w:rPr>
          <w:rFonts w:hint="default"/>
        </w:rPr>
      </w:pPr>
    </w:p>
    <w:p>
      <w:pPr>
        <w:pStyle w:val="0"/>
        <w:ind w:left="240" w:leftChars="100"/>
        <w:rPr>
          <w:rFonts w:hint="default"/>
        </w:rPr>
      </w:pPr>
    </w:p>
    <w:p>
      <w:pPr>
        <w:pStyle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■全体へのアプローチ</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□市医療職の出前講座</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市医療職による、介護予防事業での健康教育や健康相談を地区福祉会やシニアクラブ等の通いの場で、専門性を生かした技術的助言を行いました。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□介護予防活動の担い手養成</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高齢者の社会参加と地域における支え合い体制づくりを進めるため、介護予防活動の担い手養成を実施しました。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□市広報紙、ホームページ、チラシによる情報発信</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市広報紙やホームページでの広報に加えて、介護保険料決定通知書にスポーツ教室・介護予防教室の案内チラシを同封したほか、介護予防の必要性に気づきを促す啓発チラシを配布し、高齢者に広く情報発信をし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□健康長寿フォーラムの開催</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介護予防や健康長寿促進に向けて、健康長寿に関する講演会や認知症体験、食や運動、各種測定、健康相談のブースなどを設けた、健康長寿フォーラムを開催しました。</w:t>
            </w:r>
          </w:p>
        </w:tc>
      </w:tr>
    </w:tbl>
    <w:p>
      <w:pPr>
        <w:pStyle w:val="0"/>
        <w:ind w:firstLine="240" w:firstLineChars="100"/>
        <w:rPr>
          <w:rFonts w:hint="default"/>
        </w:rPr>
      </w:pPr>
    </w:p>
    <w:p>
      <w:pPr>
        <w:pStyle w:val="0"/>
        <w:ind w:firstLine="480" w:firstLineChars="200"/>
        <w:rPr>
          <w:rFonts w:hint="default"/>
        </w:rPr>
      </w:pPr>
      <w:r>
        <w:rPr>
          <w:rFonts w:hint="eastAsia" w:ascii="ＭＳ ゴシック" w:hAnsi="ＭＳ ゴシック" w:eastAsia="ＭＳ ゴシック"/>
        </w:rPr>
        <w:t>■対象別のアプローチ</w:t>
      </w:r>
    </w:p>
    <w:p>
      <w:pPr>
        <w:pStyle w:val="0"/>
        <w:ind w:left="480" w:leftChars="100" w:hanging="240" w:hangingChars="100"/>
        <w:jc w:val="both"/>
        <w:rPr>
          <w:rFonts w:hint="default"/>
        </w:rPr>
      </w:pPr>
      <w:r>
        <w:rPr>
          <w:rFonts w:hint="eastAsia"/>
        </w:rPr>
        <w:t>　　外出機会の頻度と身体能力の状況等により、介護予防等のリスクの高さを４つに分類し、状態像に応じて以下のアプローチを行いました。</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□外出機会が多く、身体能力の高いかた</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地域のシニアクラブや地区福祉会、通いの場や自主サークルなどでの介護予防活動のリーダーとして活躍していただけるよう、介護予防推進員養成講座などを実施しました。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□外出機会が多いが、身体能力の低下しているかた</w:t>
            </w:r>
          </w:p>
          <w:p>
            <w:pPr>
              <w:pStyle w:val="0"/>
              <w:ind w:left="240" w:hanging="240" w:hangingChars="100"/>
              <w:jc w:val="both"/>
              <w:rPr>
                <w:rFonts w:hint="default" w:ascii="ＭＳ 明朝" w:hAnsi="ＭＳ 明朝" w:eastAsia="ＭＳ 明朝"/>
                <w:sz w:val="24"/>
              </w:rPr>
            </w:pPr>
            <w:r>
              <w:rPr>
                <w:rFonts w:hint="eastAsia" w:ascii="ＭＳ 明朝" w:hAnsi="ＭＳ 明朝" w:eastAsia="ＭＳ 明朝"/>
                <w:sz w:val="24"/>
              </w:rPr>
              <w:t>　シニアクラブなどの通いの場や、介護予防教室などへの参加を促すとともに、稲ふれあいセンターのパワープレート（トレーニングマシン）などの活用により、身体能力の改善機会の提供を進めました。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□外出機会が少ないが、身体能力の高いかた</w:t>
            </w:r>
          </w:p>
          <w:p>
            <w:pPr>
              <w:pStyle w:val="0"/>
              <w:ind w:left="240" w:hanging="240" w:hangingChars="100"/>
              <w:jc w:val="both"/>
              <w:rPr>
                <w:rFonts w:hint="default" w:ascii="ＭＳ 明朝" w:hAnsi="ＭＳ 明朝" w:eastAsia="ＭＳ 明朝"/>
                <w:sz w:val="24"/>
              </w:rPr>
            </w:pPr>
            <w:r>
              <w:rPr>
                <w:rFonts w:hint="eastAsia" w:ascii="ＭＳ 明朝" w:hAnsi="ＭＳ 明朝" w:eastAsia="ＭＳ 明朝"/>
                <w:sz w:val="24"/>
              </w:rPr>
              <w:t>　市広報紙や啓発チラシなどにより、介護予防の必要性に関する気づきを促し、シニアクラブや介護予防教室などへの参加促進を図りました。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□外出機会が少なく、身体能力の低下しているかた</w:t>
            </w:r>
          </w:p>
          <w:p>
            <w:pPr>
              <w:pStyle w:val="0"/>
              <w:ind w:left="240" w:hanging="240" w:hangingChars="100"/>
              <w:jc w:val="both"/>
              <w:rPr>
                <w:rFonts w:hint="default" w:ascii="ＭＳ 明朝" w:hAnsi="ＭＳ 明朝" w:eastAsia="ＭＳ 明朝"/>
                <w:sz w:val="24"/>
              </w:rPr>
            </w:pPr>
            <w:r>
              <w:rPr>
                <w:rFonts w:hint="eastAsia" w:ascii="ＭＳ 明朝" w:hAnsi="ＭＳ 明朝" w:eastAsia="ＭＳ 明朝"/>
                <w:sz w:val="24"/>
              </w:rPr>
              <w:t>　市広報紙や啓発チラシなどにより、介護予防の必要性に関する気づきを促し、シニアクラブや介護予防教室などへの参加促進を図りました。また、地域包括支援センターやリハビリテーション専門職の個別アプローチにより、生活指導や自主トレーニングの指導を行い、介護予防教室や街かどデイハウスへの参加促進により、身体能力の改善機会の提供を進めました。</w:t>
            </w:r>
          </w:p>
        </w:tc>
      </w:tr>
    </w:tbl>
    <w:p>
      <w:pPr>
        <w:pStyle w:val="0"/>
        <w:ind w:left="240" w:leftChars="100"/>
        <w:rPr>
          <w:rFonts w:hint="default"/>
        </w:rPr>
      </w:pPr>
    </w:p>
    <w:p>
      <w:pPr>
        <w:pStyle w:val="0"/>
        <w:ind w:left="240" w:leftChars="100"/>
        <w:rPr>
          <w:rFonts w:hint="default"/>
        </w:rPr>
      </w:pPr>
    </w:p>
    <w:p>
      <w:pPr>
        <w:pStyle w:val="0"/>
        <w:ind w:firstLine="480" w:firstLineChars="200"/>
        <w:rPr>
          <w:rFonts w:hint="default"/>
        </w:rPr>
      </w:pPr>
      <w:r>
        <w:rPr>
          <w:rFonts w:hint="eastAsia" w:ascii="ＭＳ ゴシック" w:hAnsi="ＭＳ ゴシック" w:eastAsia="ＭＳ ゴシック"/>
        </w:rPr>
        <w:t>■段階的アプローチ</w:t>
      </w:r>
    </w:p>
    <w:p>
      <w:pPr>
        <w:pStyle w:val="0"/>
        <w:ind w:left="480" w:leftChars="100" w:hanging="240" w:hangingChars="100"/>
        <w:jc w:val="both"/>
        <w:rPr>
          <w:rFonts w:hint="default"/>
        </w:rPr>
      </w:pPr>
      <w:r>
        <w:rPr>
          <w:rFonts w:hint="eastAsia"/>
        </w:rPr>
        <w:t>　　介護予防事業の実施目的を３段階に分類し、対象者が段階的に介護予防事業を活用できるよう、アプローチを行いました。</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□気づきの機会の提供</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自分の健康状態を把握し、介護予防の大切さに気づくための機会を提供しました。具体的には、啓発チラシの配布や、医療職による健康相談、からだの元気度測定（体力測定）、運動トレーナーによる体操指導などを実施し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□見つける機会の提供</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自分に合った介護予防メニューや、趣味・関心を見つけるための機会を提供しました。具体的には、アンチエイジングセミナー（腰痛・膝痛予防コース、骨折しない体づくりコース、骨盤底筋トレでポッコリお腹予防コース、血管若返りコース、脳の若返りコース、お口元気アップ教室、歌って笑ってお口の教室）、箕面シニア塾（文化・健康コース、スポーツコース）などを開催しました。</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□続ける機会の提供</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自分に合った文化・スポーツ・趣味など介護予防に役立つ活動を続けるための機会を提供するため、地域の活動の場に対する支援を行いました。具体的には、稲ふれあいセンターの利用を活性化するため、運動トレーナーによる体操指導、からだの元気度測定会、パワープレート新規講習会などを開催したほか、見学・体験デーにより、新規の見学や同好会活動体験の機会を提供しました。</w:t>
            </w:r>
          </w:p>
          <w:p>
            <w:pPr>
              <w:pStyle w:val="0"/>
              <w:ind w:left="240" w:leftChars="100"/>
              <w:jc w:val="both"/>
              <w:rPr>
                <w:rFonts w:hint="default" w:ascii="ＭＳ 明朝" w:hAnsi="ＭＳ 明朝" w:eastAsia="ＭＳ 明朝"/>
                <w:sz w:val="24"/>
              </w:rPr>
            </w:pPr>
            <w:r>
              <w:rPr>
                <w:rFonts w:hint="eastAsia" w:ascii="ＭＳ 明朝" w:hAnsi="ＭＳ 明朝" w:eastAsia="ＭＳ 明朝"/>
                <w:sz w:val="24"/>
              </w:rPr>
              <w:t>また、シニアクラブの活動支援、シニア活動応援交付金による地域グループの立ち上げ・活性化支援、運動トレーナー派遣による体操グループなどの立ち上げ・活性化支援、からだの元気度測定会の開催による地域グループの活性化支援、街かどデイハウスの活動支援などを実施しました。</w:t>
            </w:r>
          </w:p>
        </w:tc>
      </w:tr>
    </w:tbl>
    <w:p>
      <w:pPr>
        <w:pStyle w:val="0"/>
        <w:rPr>
          <w:rFonts w:hint="default"/>
        </w:rPr>
      </w:pPr>
    </w:p>
    <w:p>
      <w:pPr>
        <w:pStyle w:val="6"/>
        <w:ind w:left="0" w:leftChars="0" w:firstLine="480" w:firstLineChars="200"/>
        <w:rPr>
          <w:rFonts w:hint="default"/>
        </w:rPr>
      </w:pPr>
      <w:r>
        <w:rPr>
          <w:rFonts w:hint="eastAsia" w:ascii="ＭＳ ゴシック" w:hAnsi="ＭＳ ゴシック" w:eastAsia="ＭＳ ゴシック"/>
          <w:b w:val="0"/>
        </w:rPr>
        <w:t>c</w:t>
      </w:r>
      <w:r>
        <w:rPr>
          <w:rFonts w:hint="eastAsia" w:ascii="ＭＳ ゴシック" w:hAnsi="ＭＳ ゴシック" w:eastAsia="ＭＳ ゴシック"/>
          <w:b w:val="0"/>
        </w:rPr>
        <w:t>）一般介護予防事業の推進</w:t>
      </w:r>
    </w:p>
    <w:p>
      <w:pPr>
        <w:pStyle w:val="0"/>
        <w:autoSpaceDE w:val="0"/>
        <w:autoSpaceDN w:val="0"/>
        <w:adjustRightInd w:val="0"/>
        <w:ind w:left="480" w:leftChars="200" w:firstLine="240" w:firstLineChars="100"/>
        <w:jc w:val="both"/>
        <w:rPr>
          <w:rFonts w:hint="default"/>
        </w:rPr>
      </w:pPr>
      <w:r>
        <w:rPr>
          <w:rFonts w:hint="eastAsia"/>
        </w:rPr>
        <w:t>一般介護予防事業は、元気な高齢者や虚弱な高齢者が要支援状態にならないように、また要支援者や要介護者は身体状況が現状よりも悪くならないように、維持や改善をめざして取り組むものです。本市では、第７期計画期間中、一般介護予防事業として次の５つの事業を推進しました。</w:t>
      </w:r>
    </w:p>
    <w:p>
      <w:pPr>
        <w:pStyle w:val="0"/>
        <w:autoSpaceDE w:val="0"/>
        <w:autoSpaceDN w:val="0"/>
        <w:adjustRightInd w:val="0"/>
        <w:rPr>
          <w:rFonts w:hint="default"/>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①介護予防把握事業</w:t>
      </w:r>
    </w:p>
    <w:p>
      <w:pPr>
        <w:pStyle w:val="0"/>
        <w:autoSpaceDE w:val="0"/>
        <w:autoSpaceDN w:val="0"/>
        <w:adjustRightInd w:val="0"/>
        <w:ind w:left="480" w:leftChars="200" w:firstLine="240" w:firstLineChars="100"/>
        <w:jc w:val="both"/>
        <w:rPr>
          <w:rFonts w:hint="default"/>
        </w:rPr>
      </w:pPr>
      <w:r>
        <w:rPr>
          <w:rFonts w:hint="eastAsia"/>
        </w:rPr>
        <w:t>市と地域包括支援センターが連携して、多職種連携元気サポート会議の開催や圏域ネットワーク会議（日常生活圏域ごとにケアマネジャーやサービス事業者などの関係者間で、介護予防や総合事業などの情報共有と連携構築を目的とした会議）への参加などを通じて地域課題の抽出に取り組むとともに、圏域ごとの地域の通いの場の情報収集と活用、通いの場の創出に取り組み、高齢者の介護予防活動を促進しました。また、平成</w:t>
      </w:r>
      <w:r>
        <w:rPr>
          <w:rFonts w:hint="eastAsia"/>
        </w:rPr>
        <w:t>30</w:t>
      </w:r>
      <w:r>
        <w:rPr>
          <w:rFonts w:hint="eastAsia"/>
        </w:rPr>
        <w:t>年度</w:t>
      </w:r>
      <w:r>
        <w:rPr>
          <w:rFonts w:hint="eastAsia"/>
        </w:rPr>
        <w:t>(2018</w:t>
      </w:r>
      <w:r>
        <w:rPr>
          <w:rFonts w:hint="eastAsia"/>
        </w:rPr>
        <w:t>年度</w:t>
      </w:r>
      <w:r>
        <w:rPr>
          <w:rFonts w:hint="eastAsia"/>
        </w:rPr>
        <w:t>)</w:t>
      </w:r>
      <w:r>
        <w:rPr>
          <w:rFonts w:hint="eastAsia"/>
        </w:rPr>
        <w:t>には、前期高齢者を対象に「高齢者基本健康調査」を実施し、高齢者の心身の状況や社会参加の状況について実態把握を行いました。</w:t>
      </w: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②介護予防普及啓発事業</w:t>
      </w:r>
    </w:p>
    <w:p>
      <w:pPr>
        <w:pStyle w:val="0"/>
        <w:autoSpaceDE w:val="0"/>
        <w:autoSpaceDN w:val="0"/>
        <w:adjustRightInd w:val="0"/>
        <w:ind w:firstLine="720" w:firstLineChars="300"/>
        <w:rPr>
          <w:rFonts w:hint="default"/>
        </w:rPr>
      </w:pPr>
      <w:r>
        <w:rPr>
          <w:rFonts w:hint="eastAsia"/>
        </w:rPr>
        <w:t>介護予防普及啓発事業では、次のような取組を実施しました。</w:t>
      </w:r>
    </w:p>
    <w:p>
      <w:pPr>
        <w:pStyle w:val="0"/>
        <w:autoSpaceDE w:val="0"/>
        <w:autoSpaceDN w:val="0"/>
        <w:adjustRightInd w:val="0"/>
        <w:rPr>
          <w:rFonts w:hint="default"/>
        </w:rPr>
      </w:pPr>
    </w:p>
    <w:p>
      <w:pPr>
        <w:pStyle w:val="0"/>
        <w:autoSpaceDE w:val="0"/>
        <w:autoSpaceDN w:val="0"/>
        <w:adjustRightInd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■身体機能の維持・向上を目的とした取組内容</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□アンチエイジングセミナー（骨折しない体づくりコース）</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運動器の機能向上やバランス能力の向上、転倒を防ぐための環境改善の知識の普及を図る。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□アンチエイジングセミナー（腰痛・膝痛予防コース）</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腰痛・膝痛予防に関する知識の普及と関節の柔軟性や筋力の向上を図る。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□アンチエイジングセミナー（骨盤底筋トレでポッコリお腹予防コース）</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ポッコリお腹や尿失禁を予防するために骨盤底筋を強化する運動及び全身の運動器の機能向上を図る。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□アンチエイジングセミナー（脳の若返りコース）</w:t>
            </w:r>
          </w:p>
          <w:p>
            <w:pPr>
              <w:pStyle w:val="0"/>
              <w:autoSpaceDE w:val="0"/>
              <w:autoSpaceDN w:val="0"/>
              <w:adjustRightInd w:val="0"/>
              <w:jc w:val="both"/>
              <w:rPr>
                <w:rFonts w:hint="default" w:ascii="ＭＳ 明朝" w:hAnsi="ＭＳ 明朝" w:eastAsia="ＭＳ 明朝"/>
                <w:sz w:val="24"/>
              </w:rPr>
            </w:pPr>
            <w:r>
              <w:rPr>
                <w:rFonts w:hint="eastAsia" w:ascii="ＭＳ 明朝" w:hAnsi="ＭＳ 明朝" w:eastAsia="ＭＳ 明朝"/>
                <w:sz w:val="24"/>
              </w:rPr>
              <w:t>　認知症を予防するための脳トレや手軽な運動、生活習慣のポイントを伝える。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□アンチエイジングセミナー（血管若返りコース）</w:t>
            </w:r>
          </w:p>
          <w:p>
            <w:pPr>
              <w:pStyle w:val="0"/>
              <w:autoSpaceDE w:val="0"/>
              <w:autoSpaceDN w:val="0"/>
              <w:adjustRightInd w:val="0"/>
              <w:jc w:val="both"/>
              <w:rPr>
                <w:rFonts w:hint="default" w:ascii="ＭＳ 明朝" w:hAnsi="ＭＳ 明朝" w:eastAsia="ＭＳ 明朝"/>
                <w:sz w:val="24"/>
              </w:rPr>
            </w:pPr>
            <w:r>
              <w:rPr>
                <w:rFonts w:hint="eastAsia" w:ascii="ＭＳ 明朝" w:hAnsi="ＭＳ 明朝" w:eastAsia="ＭＳ 明朝"/>
                <w:sz w:val="24"/>
              </w:rPr>
              <w:t>　血管若返りのための手軽な運動や生活習慣のポイントなどを伝える。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□アンチエイジングセミナー（お口元気アップ教室）</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口腔に関する悩みを解消し、口腔機能の維持・向上を図る。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□アンチエイジングセミナー（歌って笑ってお口の教室）</w:t>
            </w:r>
          </w:p>
          <w:p>
            <w:pPr>
              <w:pStyle w:val="0"/>
              <w:autoSpaceDE w:val="0"/>
              <w:autoSpaceDN w:val="0"/>
              <w:adjustRightInd w:val="0"/>
              <w:jc w:val="both"/>
              <w:rPr>
                <w:rFonts w:hint="default" w:ascii="ＭＳ 明朝" w:hAnsi="ＭＳ 明朝" w:eastAsia="ＭＳ 明朝"/>
                <w:color w:val="FF0000"/>
                <w:sz w:val="24"/>
              </w:rPr>
            </w:pPr>
            <w:r>
              <w:rPr>
                <w:rFonts w:hint="eastAsia" w:ascii="ＭＳ 明朝" w:hAnsi="ＭＳ 明朝" w:eastAsia="ＭＳ 明朝"/>
                <w:sz w:val="24"/>
              </w:rPr>
              <w:t>　口腔機能向上のための季節の歌やリズム体操を実施する。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□通いの場での介護予防教室・認知症予防教室</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街かどデイハウスや社会福祉協議会地区福祉会による高齢者ふれあいいきいきサロンで、介護予防・認知症予防に関する知識の普及と運動器の機能や認知機能の維持向上を図る。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□箕面シニア塾</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highlight w:val="none"/>
              </w:rPr>
              <w:t>文化・健康コース、スポーツコースの２コースを設定。介護予</w:t>
            </w:r>
            <w:r>
              <w:rPr>
                <w:rFonts w:hint="eastAsia" w:ascii="ＭＳ 明朝" w:hAnsi="ＭＳ 明朝" w:eastAsia="ＭＳ 明朝"/>
                <w:sz w:val="24"/>
              </w:rPr>
              <w:t>防の視点を取り入れた講座を開催し、講座修了後も様々な活動に継続して参加できるよう支援する。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□からだの元気度測定会</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シニアクラブ、高齢者ふれあいいきいきサロン、稲ふれあいセンター等で体力測定を行い、筋力や柔軟性、バランス能力に気づく機会を提供するとともに、機能を向上するための情報提供を行う。</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□運動トレーナーの派遣</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健康運動指導士などの運動の専門職を地域の自主的なグループに派遣し、継続して運動ができるように活動を支援する。また、令和元年度（</w:t>
            </w:r>
            <w:r>
              <w:rPr>
                <w:rFonts w:hint="eastAsia" w:ascii="ＭＳ 明朝" w:hAnsi="ＭＳ 明朝" w:eastAsia="ＭＳ 明朝"/>
                <w:sz w:val="24"/>
              </w:rPr>
              <w:t>2019</w:t>
            </w:r>
            <w:r>
              <w:rPr>
                <w:rFonts w:hint="eastAsia" w:ascii="ＭＳ 明朝" w:hAnsi="ＭＳ 明朝" w:eastAsia="ＭＳ 明朝"/>
                <w:sz w:val="24"/>
              </w:rPr>
              <w:t>年度）からは、定期的に稲ふれあいセンターや市東部・西部の公共施設に運動トレーナーを派遣して体操指導等を行い、介護予防の必要性に気づき、取り組むための環境づくりにより、運動機能の維持・改善を図る。</w:t>
            </w:r>
          </w:p>
        </w:tc>
      </w:tr>
    </w:tbl>
    <w:p>
      <w:pPr>
        <w:pStyle w:val="0"/>
        <w:autoSpaceDE w:val="0"/>
        <w:autoSpaceDN w:val="0"/>
        <w:adjustRightInd w:val="0"/>
        <w:rPr>
          <w:rFonts w:hint="default" w:ascii="ＭＳ ゴシック" w:hAnsi="ＭＳ ゴシック" w:eastAsia="ＭＳ ゴシック"/>
        </w:rPr>
      </w:pP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□健康相談</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医療専門職（保健師・歯科衛生士・管理栄養士・理学療法士・作業療法士）が身体に関する悩みに対して、指導や情報提供を行い、改善・解決を図る。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□介護予防啓発</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介護保険料決定通知書にスポーツ教室・介護予防教室の案内チラシを同封するほか、介護予防の必要性に気づきを促す啓発チラシの配布等により、身体活動の維持・改善について啓発する。</w:t>
            </w:r>
          </w:p>
        </w:tc>
      </w:tr>
    </w:tbl>
    <w:p>
      <w:pPr>
        <w:pStyle w:val="0"/>
        <w:autoSpaceDE w:val="0"/>
        <w:autoSpaceDN w:val="0"/>
        <w:adjustRightInd w:val="0"/>
        <w:rPr>
          <w:rFonts w:hint="default" w:ascii="ＭＳ ゴシック" w:hAnsi="ＭＳ ゴシック" w:eastAsia="ＭＳ ゴシック"/>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③地域介護予防活動支援事業</w:t>
      </w:r>
    </w:p>
    <w:p>
      <w:pPr>
        <w:pStyle w:val="0"/>
        <w:autoSpaceDE w:val="0"/>
        <w:autoSpaceDN w:val="0"/>
        <w:adjustRightInd w:val="0"/>
        <w:ind w:left="480" w:leftChars="200" w:firstLine="240" w:firstLineChars="100"/>
        <w:jc w:val="both"/>
        <w:rPr>
          <w:rFonts w:hint="default"/>
        </w:rPr>
      </w:pPr>
      <w:r>
        <w:rPr>
          <w:rFonts w:hint="eastAsia"/>
        </w:rPr>
        <w:t>地域における住民主体の介護予防活動ができるように、介護予防のボランティアの育成・支援等を行いました。</w:t>
      </w:r>
    </w:p>
    <w:p>
      <w:pPr>
        <w:pStyle w:val="0"/>
        <w:autoSpaceDE w:val="0"/>
        <w:autoSpaceDN w:val="0"/>
        <w:adjustRightInd w:val="0"/>
        <w:rPr>
          <w:rFonts w:hint="default"/>
        </w:rPr>
      </w:pPr>
    </w:p>
    <w:p>
      <w:pPr>
        <w:pStyle w:val="0"/>
        <w:autoSpaceDE w:val="0"/>
        <w:autoSpaceDN w:val="0"/>
        <w:adjustRightInd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■地域における担い手の育成・支援のための研修内容</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□介護予防推進員養成講座</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「ゆっくりんぐ体操」を地域に普及させ、虚弱高齢者等に対する介護予防活動を行う推進員を養成する。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□自立支援推進員養成講座</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介護予防方法や地域活動の必要性を学ぶことで、家族や友人、地域住民のために地域の中で率先して介護予防活動を行う推進員を養成する。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□認知症予防活動の支援講座</w:t>
            </w:r>
          </w:p>
          <w:p>
            <w:pPr>
              <w:pStyle w:val="0"/>
              <w:autoSpaceDE w:val="0"/>
              <w:autoSpaceDN w:val="0"/>
              <w:adjustRightInd w:val="0"/>
              <w:ind w:left="240" w:leftChars="100"/>
              <w:jc w:val="both"/>
              <w:rPr>
                <w:rFonts w:hint="default" w:ascii="ＭＳ 明朝" w:hAnsi="ＭＳ 明朝" w:eastAsia="ＭＳ 明朝"/>
                <w:sz w:val="24"/>
                <w:highlight w:val="yellow"/>
              </w:rPr>
            </w:pPr>
            <w:r>
              <w:rPr>
                <w:rFonts w:hint="eastAsia" w:ascii="ＭＳ 明朝" w:hAnsi="ＭＳ 明朝" w:eastAsia="ＭＳ 明朝"/>
                <w:sz w:val="24"/>
              </w:rPr>
              <w:t>認知症への理解を深めることで、街かどデイハウスや地域の自主サークル、高齢者ふれあいいきいきサロンなどで認知症予防活動を実践するボランティアを養成する。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□生活支援サポーター養成研修</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総合事業の訪問型サービスの担い手を増やすため、身体介護を必要としないかたの生活支援を行う生活支援サポーター養成研修（介護保険制度や高齢者の生活支援に関する基礎知識についての研修）実施に対して補助を行う。</w:t>
            </w:r>
          </w:p>
        </w:tc>
      </w:tr>
    </w:tbl>
    <w:p>
      <w:pPr>
        <w:pStyle w:val="0"/>
        <w:autoSpaceDE w:val="0"/>
        <w:autoSpaceDN w:val="0"/>
        <w:adjustRightInd w:val="0"/>
        <w:ind w:left="240" w:leftChars="100"/>
        <w:rPr>
          <w:rFonts w:hint="default"/>
        </w:rPr>
      </w:pPr>
    </w:p>
    <w:p>
      <w:pPr>
        <w:pStyle w:val="0"/>
        <w:autoSpaceDE w:val="0"/>
        <w:autoSpaceDN w:val="0"/>
        <w:adjustRightInd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■その他の取組内容</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□シニア活動応援交付金の交付</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高齢者の自主グループ活動・サークル活動について、新規立ち上げと活性化の取組（新たなメンバーを増やすための体験会・発表会等の取組）に対し交付金を交付し、その促進を図る。</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□街かどデイハウスの運営補助</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高齢者の通いの場である街かどデイハウスの安定的な運営を図る。</w:t>
            </w:r>
          </w:p>
        </w:tc>
      </w:tr>
    </w:tbl>
    <w:p>
      <w:pPr>
        <w:pStyle w:val="0"/>
        <w:autoSpaceDE w:val="0"/>
        <w:autoSpaceDN w:val="0"/>
        <w:adjustRightInd w:val="0"/>
        <w:rPr>
          <w:rFonts w:hint="default" w:ascii="ＭＳ ゴシック" w:hAnsi="ＭＳ ゴシック" w:eastAsia="ＭＳ ゴシック"/>
        </w:rPr>
      </w:pPr>
    </w:p>
    <w:p>
      <w:pPr>
        <w:pStyle w:val="0"/>
        <w:autoSpaceDE w:val="0"/>
        <w:autoSpaceDN w:val="0"/>
        <w:adjustRightInd w:val="0"/>
        <w:rPr>
          <w:rFonts w:hint="default" w:ascii="ＭＳ ゴシック" w:hAnsi="ＭＳ ゴシック" w:eastAsia="ＭＳ ゴシック"/>
        </w:rPr>
      </w:pPr>
    </w:p>
    <w:p>
      <w:pPr>
        <w:pStyle w:val="0"/>
        <w:autoSpaceDE w:val="0"/>
        <w:autoSpaceDN w:val="0"/>
        <w:adjustRightInd w:val="0"/>
        <w:rPr>
          <w:rFonts w:hint="default" w:ascii="ＭＳ ゴシック" w:hAnsi="ＭＳ ゴシック" w:eastAsia="ＭＳ ゴシック"/>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④一般介護予防事業評価事業</w:t>
      </w:r>
    </w:p>
    <w:p>
      <w:pPr>
        <w:pStyle w:val="0"/>
        <w:ind w:left="480" w:leftChars="200" w:firstLine="240" w:firstLineChars="100"/>
        <w:jc w:val="both"/>
        <w:rPr>
          <w:rFonts w:hint="default"/>
        </w:rPr>
      </w:pPr>
      <w:r>
        <w:rPr>
          <w:rFonts w:hint="eastAsia"/>
        </w:rPr>
        <w:t>平成</w:t>
      </w:r>
      <w:r>
        <w:rPr>
          <w:rFonts w:hint="eastAsia"/>
        </w:rPr>
        <w:t>30</w:t>
      </w:r>
      <w:r>
        <w:rPr>
          <w:rFonts w:hint="eastAsia"/>
        </w:rPr>
        <w:t>年度</w:t>
      </w:r>
      <w:r>
        <w:rPr>
          <w:rFonts w:hint="eastAsia"/>
        </w:rPr>
        <w:t>(2018</w:t>
      </w:r>
      <w:r>
        <w:rPr>
          <w:rFonts w:hint="eastAsia"/>
        </w:rPr>
        <w:t>年度</w:t>
      </w:r>
      <w:r>
        <w:rPr>
          <w:rFonts w:hint="eastAsia"/>
        </w:rPr>
        <w:t>)</w:t>
      </w:r>
      <w:r>
        <w:rPr>
          <w:rFonts w:hint="eastAsia"/>
        </w:rPr>
        <w:t>に実施した「高齢者基本健康調査」の結果をもとに、生活習慣病予防に向けたアンチエイジングセミナー「血管若返りコース」を令和元年度</w:t>
      </w:r>
      <w:r>
        <w:rPr>
          <w:rFonts w:hint="eastAsia"/>
        </w:rPr>
        <w:t>(2019</w:t>
      </w:r>
      <w:r>
        <w:rPr>
          <w:rFonts w:hint="eastAsia"/>
        </w:rPr>
        <w:t>年度</w:t>
      </w:r>
      <w:r>
        <w:rPr>
          <w:rFonts w:hint="eastAsia"/>
        </w:rPr>
        <w:t>)</w:t>
      </w:r>
      <w:r>
        <w:rPr>
          <w:rFonts w:hint="eastAsia"/>
        </w:rPr>
        <w:t>に新設するなど、介護予防教室の内容の見直しを行ったほか、年度ごとに介護サービス評価専門員会議等において、一般介護予防事業の取組状況の評価を行い、必要な改善策の検討を行いました。</w:t>
      </w:r>
    </w:p>
    <w:p>
      <w:pPr>
        <w:pStyle w:val="0"/>
        <w:autoSpaceDE w:val="0"/>
        <w:autoSpaceDN w:val="0"/>
        <w:adjustRightInd w:val="0"/>
        <w:jc w:val="both"/>
        <w:rPr>
          <w:rFonts w:hint="default" w:ascii="ＭＳ ゴシック" w:hAnsi="ＭＳ ゴシック" w:eastAsia="ＭＳ ゴシック"/>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⑤地域リハビリテーション活動支援事業</w:t>
      </w:r>
    </w:p>
    <w:p>
      <w:pPr>
        <w:pStyle w:val="0"/>
        <w:ind w:left="480" w:leftChars="200" w:firstLine="240" w:firstLineChars="100"/>
        <w:jc w:val="both"/>
        <w:rPr>
          <w:rFonts w:hint="default"/>
        </w:rPr>
      </w:pPr>
      <w:r>
        <w:rPr>
          <w:rFonts w:hint="eastAsia"/>
        </w:rPr>
        <w:t>市医療職（理学療法士・作業療法士）が、地域包括支援センターごとの担当制により、住宅改修や福祉用具、その他の相談に応じた訪問指導を行うとともに、自立支援を推進するための自立支援型個別会議（兼サービス担当者会議）や、保健師・歯科衛生士・管理栄養士を含めた市医療職が地域課題の抽出やサービス内容の検討を行う多職種連携元気サポート会議に参加してケアプランに対する助言を行い、住民主体の通いの場などでの運動指導・認知症予防を継続して実施しました。</w:t>
      </w:r>
    </w:p>
    <w:p>
      <w:pPr>
        <w:pStyle w:val="0"/>
        <w:ind w:left="480" w:leftChars="200" w:firstLine="240" w:firstLineChars="100"/>
        <w:jc w:val="both"/>
        <w:rPr>
          <w:rFonts w:hint="default"/>
        </w:rPr>
      </w:pPr>
    </w:p>
    <w:p>
      <w:pPr>
        <w:pStyle w:val="6"/>
        <w:ind w:left="0" w:leftChars="0" w:firstLine="480" w:firstLineChars="200"/>
        <w:jc w:val="both"/>
        <w:rPr>
          <w:rFonts w:hint="default"/>
        </w:rPr>
      </w:pPr>
      <w:r>
        <w:rPr>
          <w:rFonts w:hint="default" w:ascii="ＭＳ ゴシック" w:hAnsi="ＭＳ ゴシック" w:eastAsia="ＭＳ ゴシック"/>
          <w:b w:val="0"/>
        </w:rPr>
        <w:t>d</w:t>
      </w:r>
      <w:r>
        <w:rPr>
          <w:rFonts w:hint="eastAsia" w:ascii="ＭＳ ゴシック" w:hAnsi="ＭＳ ゴシック" w:eastAsia="ＭＳ ゴシック"/>
          <w:b w:val="0"/>
        </w:rPr>
        <w:t>）生きがいの支援の充実、社会参加・参画の推進</w:t>
      </w:r>
    </w:p>
    <w:p>
      <w:pPr>
        <w:pStyle w:val="0"/>
        <w:ind w:left="960" w:leftChars="300" w:hanging="240" w:hangingChars="100"/>
        <w:jc w:val="both"/>
        <w:rPr>
          <w:rFonts w:hint="default"/>
        </w:rPr>
      </w:pPr>
      <w:r>
        <w:rPr>
          <w:rFonts w:hint="eastAsia"/>
        </w:rPr>
        <w:t>○　稲ふれあいセンターや市東部・西部の公共施設での運動トレーナーによる体操指導のほか、生涯学習センターの春秋講座や箕面シニア塾の文化・健康コース、スポーツコースの実施により、高齢者の学習機会やスポーツを通じた健康づくりの機会の確保に努めました。また、シニア活動応援交付金の活用により、新たなサークルの立ち上げや既存のサークル活動の活性化を図り、高齢者の地域活動を促進しました。</w:t>
      </w:r>
    </w:p>
    <w:p>
      <w:pPr>
        <w:pStyle w:val="0"/>
        <w:ind w:left="960" w:leftChars="300" w:hanging="240" w:hangingChars="100"/>
        <w:jc w:val="both"/>
        <w:rPr>
          <w:rFonts w:hint="default"/>
        </w:rPr>
      </w:pPr>
      <w:r>
        <w:rPr>
          <w:rFonts w:hint="eastAsia"/>
        </w:rPr>
        <w:t>○　シニアクラブ活動の支援については、引き続き高齢者福祉大会、高齢者作品展、高齢者健康セミナー等の各種事業や、会員の加入促進に向けた取組を支援しました。</w:t>
      </w:r>
    </w:p>
    <w:p>
      <w:pPr>
        <w:pStyle w:val="0"/>
        <w:ind w:left="960" w:leftChars="300" w:hanging="240" w:hangingChars="100"/>
        <w:jc w:val="both"/>
        <w:rPr>
          <w:rFonts w:hint="default"/>
        </w:rPr>
      </w:pPr>
      <w:r>
        <w:rPr>
          <w:rFonts w:hint="eastAsia"/>
        </w:rPr>
        <w:t>○　稲ふれあいセンターの運営や街かどデイハウスの活動支援等により、高齢者の交流・活動拠点の活性化に取り組みました。</w:t>
      </w:r>
    </w:p>
    <w:p>
      <w:pPr>
        <w:pStyle w:val="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43" w:name="_Toc59007774"/>
      <w:r>
        <w:rPr>
          <w:rFonts w:hint="eastAsia" w:ascii="ＭＳ ゴシック" w:hAnsi="ＭＳ ゴシック" w:eastAsia="ＭＳ ゴシック"/>
        </w:rPr>
        <w:t>イ）地域包括ケアシステムの深化</w:t>
      </w:r>
      <w:bookmarkEnd w:id="43"/>
    </w:p>
    <w:p>
      <w:pPr>
        <w:pStyle w:val="6"/>
        <w:ind w:left="0" w:leftChars="0" w:firstLine="480" w:firstLineChars="200"/>
        <w:jc w:val="both"/>
        <w:rPr>
          <w:rFonts w:hint="default" w:ascii="ＭＳ ゴシック" w:hAnsi="ＭＳ ゴシック" w:eastAsia="ＭＳ ゴシック"/>
          <w:b w:val="0"/>
        </w:rPr>
      </w:pPr>
      <w:r>
        <w:rPr>
          <w:rFonts w:hint="default" w:ascii="ＭＳ ゴシック" w:hAnsi="ＭＳ ゴシック" w:eastAsia="ＭＳ ゴシック"/>
          <w:b w:val="0"/>
        </w:rPr>
        <w:t>a</w:t>
      </w:r>
      <w:r>
        <w:rPr>
          <w:rFonts w:hint="eastAsia" w:ascii="ＭＳ ゴシック" w:hAnsi="ＭＳ ゴシック" w:eastAsia="ＭＳ ゴシック"/>
          <w:b w:val="0"/>
        </w:rPr>
        <w:t>）日常生活圏域の見直し</w:t>
      </w:r>
    </w:p>
    <w:p>
      <w:pPr>
        <w:pStyle w:val="0"/>
        <w:ind w:left="480" w:leftChars="200" w:firstLine="240" w:firstLineChars="100"/>
        <w:jc w:val="both"/>
        <w:rPr>
          <w:rFonts w:hint="default"/>
          <w:highlight w:val="yellow"/>
        </w:rPr>
      </w:pPr>
      <w:r>
        <w:rPr>
          <w:rFonts w:hint="eastAsia"/>
        </w:rPr>
        <w:t>本市では、令和７</w:t>
      </w:r>
      <w:r>
        <w:rPr>
          <w:rFonts w:hint="default"/>
        </w:rPr>
        <w:t>年</w:t>
      </w:r>
      <w:r>
        <w:rPr>
          <w:rFonts w:hint="default"/>
        </w:rPr>
        <w:t>(2025</w:t>
      </w:r>
      <w:r>
        <w:rPr>
          <w:rFonts w:hint="default"/>
        </w:rPr>
        <w:t>年</w:t>
      </w:r>
      <w:r>
        <w:rPr>
          <w:rFonts w:hint="default"/>
        </w:rPr>
        <w:t>)</w:t>
      </w:r>
      <w:r>
        <w:rPr>
          <w:rFonts w:hint="default"/>
        </w:rPr>
        <w:t>以降の超高齢化を見据え、</w:t>
      </w:r>
      <w:r>
        <w:rPr>
          <w:rFonts w:hint="eastAsia"/>
        </w:rPr>
        <w:t>第７期計画から</w:t>
      </w:r>
      <w:r>
        <w:rPr>
          <w:rFonts w:hint="default"/>
        </w:rPr>
        <w:t>14</w:t>
      </w:r>
      <w:r>
        <w:rPr>
          <w:rFonts w:hint="default"/>
        </w:rPr>
        <w:t>の小学校区を日常生活圏域</w:t>
      </w:r>
      <w:r>
        <w:rPr>
          <w:rFonts w:hint="eastAsia"/>
        </w:rPr>
        <w:t>と設定し、地域包括ケアシステムの中核となる機関として５か所の「地域包括支援センター（高齢者くらしサポート）」を設置しました。</w:t>
      </w:r>
    </w:p>
    <w:p>
      <w:pPr>
        <w:pStyle w:val="0"/>
        <w:rPr>
          <w:rFonts w:hint="default"/>
          <w:highlight w:val="yellow"/>
        </w:rPr>
      </w:pPr>
    </w:p>
    <w:p>
      <w:pPr>
        <w:pStyle w:val="0"/>
        <w:rPr>
          <w:rFonts w:hint="default"/>
          <w:highlight w:val="yellow"/>
        </w:rPr>
      </w:pPr>
    </w:p>
    <w:p>
      <w:pPr>
        <w:pStyle w:val="0"/>
        <w:rPr>
          <w:rFonts w:hint="default"/>
          <w:highlight w:val="yellow"/>
        </w:rPr>
      </w:pPr>
    </w:p>
    <w:p>
      <w:pPr>
        <w:pStyle w:val="0"/>
        <w:rPr>
          <w:rFonts w:hint="default"/>
          <w:highlight w:val="yellow"/>
        </w:rPr>
      </w:pPr>
    </w:p>
    <w:p>
      <w:pPr>
        <w:pStyle w:val="0"/>
        <w:rPr>
          <w:rFonts w:hint="default"/>
          <w:highlight w:val="yellow"/>
        </w:rPr>
      </w:pPr>
    </w:p>
    <w:p>
      <w:pPr>
        <w:pStyle w:val="0"/>
        <w:rPr>
          <w:rFonts w:hint="default"/>
          <w:highlight w:val="yellow"/>
        </w:rPr>
      </w:pPr>
    </w:p>
    <w:p>
      <w:pPr>
        <w:pStyle w:val="6"/>
        <w:ind w:left="0" w:leftChars="0" w:firstLine="480" w:firstLineChars="200"/>
        <w:rPr>
          <w:rFonts w:hint="default" w:ascii="ＭＳ ゴシック" w:hAnsi="ＭＳ ゴシック" w:eastAsia="ＭＳ ゴシック"/>
          <w:b w:val="0"/>
        </w:rPr>
      </w:pPr>
      <w:r>
        <w:rPr>
          <w:rFonts w:hint="default" w:ascii="ＭＳ ゴシック" w:hAnsi="ＭＳ ゴシック" w:eastAsia="ＭＳ ゴシック"/>
          <w:b w:val="0"/>
        </w:rPr>
        <w:t>b</w:t>
      </w:r>
      <w:r>
        <w:rPr>
          <w:rFonts w:hint="eastAsia" w:ascii="ＭＳ ゴシック" w:hAnsi="ＭＳ ゴシック" w:eastAsia="ＭＳ ゴシック"/>
          <w:b w:val="0"/>
        </w:rPr>
        <w:t>）地域包括支援センターの機能強化</w:t>
      </w: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①地域包括支援センターの活動状況</w:t>
      </w:r>
    </w:p>
    <w:p>
      <w:pPr>
        <w:pStyle w:val="0"/>
        <w:ind w:left="480" w:leftChars="200" w:firstLine="240" w:firstLineChars="100"/>
        <w:jc w:val="both"/>
        <w:rPr>
          <w:rFonts w:hint="default"/>
        </w:rPr>
      </w:pPr>
      <w:r>
        <w:rPr>
          <w:rFonts w:hint="eastAsia"/>
        </w:rPr>
        <w:t>地域包括支援センターに寄せられる相談内容については、「介護保険サービス」についての相談が</w:t>
      </w:r>
      <w:r>
        <w:rPr>
          <w:rFonts w:hint="eastAsia"/>
        </w:rPr>
        <w:t>22.4</w:t>
      </w:r>
      <w:r>
        <w:rPr>
          <w:rFonts w:hint="default"/>
        </w:rPr>
        <w:t>％と最も多く、次いで「介護相談・介護者支援」についての相談が</w:t>
      </w:r>
      <w:r>
        <w:rPr>
          <w:rFonts w:hint="eastAsia"/>
        </w:rPr>
        <w:t>16.6</w:t>
      </w:r>
      <w:r>
        <w:rPr>
          <w:rFonts w:hint="default"/>
        </w:rPr>
        <w:t>％となっています。</w:t>
      </w:r>
      <w:r>
        <w:rPr>
          <w:rFonts w:hint="eastAsia"/>
          <w:color w:val="000000" w:themeColor="text1"/>
        </w:rPr>
        <w:t>（図表</w:t>
      </w:r>
      <w:r>
        <w:rPr>
          <w:rFonts w:hint="eastAsia"/>
          <w:color w:val="000000" w:themeColor="text1"/>
        </w:rPr>
        <w:t>72</w:t>
      </w:r>
      <w:r>
        <w:rPr>
          <w:rFonts w:hint="eastAsia"/>
          <w:color w:val="000000" w:themeColor="text1"/>
        </w:rPr>
        <w:t>、図表</w:t>
      </w:r>
      <w:r>
        <w:rPr>
          <w:rFonts w:hint="eastAsia"/>
          <w:color w:val="000000" w:themeColor="text1"/>
        </w:rPr>
        <w:t>73</w:t>
      </w:r>
      <w:r>
        <w:rPr>
          <w:rFonts w:hint="eastAsia"/>
          <w:color w:val="000000" w:themeColor="text1"/>
        </w:rPr>
        <w:t>参照）</w:t>
      </w:r>
    </w:p>
    <w:p>
      <w:pPr>
        <w:pStyle w:val="0"/>
        <w:rPr>
          <w:rFonts w:hint="default"/>
        </w:rPr>
      </w:pPr>
    </w:p>
    <w:p>
      <w:pPr>
        <w:pStyle w:val="0"/>
        <w:jc w:val="center"/>
        <w:rPr>
          <w:rFonts w:hint="default"/>
          <w:color w:val="C00000"/>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2</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地域包括支援センターへの相談内容（令和元年度</w:t>
      </w:r>
      <w:r>
        <w:rPr>
          <w:rFonts w:hint="eastAsia" w:ascii="ＭＳ ゴシック" w:hAnsi="ＭＳ ゴシック" w:eastAsia="ＭＳ ゴシック"/>
          <w:color w:val="000000" w:themeColor="text1"/>
          <w:sz w:val="21"/>
        </w:rPr>
        <w:t>(</w:t>
      </w:r>
      <w:r>
        <w:rPr>
          <w:rFonts w:hint="default" w:ascii="ＭＳ ゴシック" w:hAnsi="ＭＳ ゴシック" w:eastAsia="ＭＳ ゴシック"/>
          <w:color w:val="000000" w:themeColor="text1"/>
          <w:sz w:val="21"/>
        </w:rPr>
        <w:t>2019</w:t>
      </w:r>
      <w:r>
        <w:rPr>
          <w:rFonts w:hint="eastAsia" w:ascii="ＭＳ ゴシック" w:hAnsi="ＭＳ ゴシック" w:eastAsia="ＭＳ ゴシック"/>
          <w:color w:val="000000" w:themeColor="text1"/>
          <w:sz w:val="21"/>
        </w:rPr>
        <w:t>年度</w:t>
      </w:r>
      <w:r>
        <w:rPr>
          <w:rFonts w:hint="default"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w:t>
      </w:r>
    </w:p>
    <w:tbl>
      <w:tblPr>
        <w:tblStyle w:val="60"/>
        <w:tblW w:w="9497" w:type="dxa"/>
        <w:tblInd w:w="137" w:type="dxa"/>
        <w:tblLayout w:type="fixed"/>
        <w:tblLook w:firstRow="1" w:lastRow="0" w:firstColumn="1" w:lastColumn="0" w:noHBand="0" w:noVBand="1" w:val="04A0"/>
      </w:tblPr>
      <w:tblGrid>
        <w:gridCol w:w="2693"/>
        <w:gridCol w:w="1134"/>
        <w:gridCol w:w="1134"/>
        <w:gridCol w:w="1134"/>
        <w:gridCol w:w="1134"/>
        <w:gridCol w:w="1134"/>
        <w:gridCol w:w="1134"/>
      </w:tblGrid>
      <w:tr>
        <w:trPr/>
        <w:tc>
          <w:tcPr>
            <w:tcW w:w="2693" w:type="dxa"/>
            <w:tcBorders>
              <w:top w:val="none" w:color="auto" w:sz="0" w:space="0"/>
              <w:left w:val="none" w:color="auto" w:sz="0" w:space="0"/>
              <w:bottom w:val="single" w:color="auto" w:sz="4"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p>
        </w:tc>
        <w:tc>
          <w:tcPr>
            <w:tcW w:w="1134" w:type="dxa"/>
            <w:tcBorders>
              <w:top w:val="none" w:color="auto" w:sz="0" w:space="0"/>
              <w:left w:val="double" w:color="auto" w:sz="4" w:space="0"/>
              <w:bottom w:val="single" w:color="auto" w:sz="4" w:space="0"/>
              <w:right w:val="double" w:color="auto" w:sz="4"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rPr>
              <w:t>合計</w:t>
            </w:r>
          </w:p>
        </w:tc>
        <w:tc>
          <w:tcPr>
            <w:tcW w:w="1134" w:type="dxa"/>
            <w:tcBorders>
              <w:top w:val="none" w:color="auto" w:sz="0" w:space="0"/>
              <w:left w:val="double" w:color="auto" w:sz="4" w:space="0"/>
              <w:bottom w:val="single" w:color="auto" w:sz="4" w:space="0"/>
              <w:right w:val="none" w:color="auto" w:sz="0"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西部</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spacing w:val="0"/>
                <w:w w:val="70"/>
                <w:kern w:val="0"/>
                <w:fitText w:val="735" w:id="11"/>
              </w:rPr>
              <w:t>北部・西</w:t>
            </w:r>
            <w:r>
              <w:rPr>
                <w:rFonts w:hint="default" w:ascii="ＭＳ ゴシック" w:hAnsi="ＭＳ ゴシック" w:eastAsia="ＭＳ ゴシック"/>
                <w:spacing w:val="2"/>
                <w:w w:val="70"/>
                <w:kern w:val="0"/>
                <w:fitText w:val="735" w:id="11"/>
              </w:rPr>
              <w:t>南</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中西部</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rPr>
              <w:t>中東部</w:t>
            </w:r>
          </w:p>
        </w:tc>
        <w:tc>
          <w:tcPr>
            <w:tcW w:w="1134"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BDD6EE"/>
            <w:vAlign w:val="center"/>
          </w:tcPr>
          <w:p>
            <w:pPr>
              <w:pStyle w:val="0"/>
              <w:jc w:val="center"/>
              <w:rPr>
                <w:rFonts w:hint="default" w:ascii="ＭＳ ゴシック" w:hAnsi="ＭＳ ゴシック" w:eastAsia="ＭＳ ゴシック"/>
              </w:rPr>
            </w:pPr>
            <w:r>
              <w:rPr>
                <w:rFonts w:hint="default" w:ascii="ＭＳ ゴシック" w:hAnsi="ＭＳ ゴシック" w:eastAsia="ＭＳ ゴシック"/>
              </w:rPr>
              <w:t>東部</w:t>
            </w:r>
          </w:p>
        </w:tc>
      </w:tr>
      <w:tr>
        <w:trPr/>
        <w:tc>
          <w:tcPr>
            <w:tcW w:w="2693" w:type="dxa"/>
            <w:tcBorders>
              <w:top w:val="single" w:color="auto" w:sz="4"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介護相談・介護者支援</w:t>
            </w:r>
          </w:p>
        </w:tc>
        <w:tc>
          <w:tcPr>
            <w:tcW w:w="1134" w:type="dxa"/>
            <w:tcBorders>
              <w:top w:val="single" w:color="auto" w:sz="4"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3,814</w:t>
            </w:r>
            <w:r>
              <w:rPr>
                <w:rFonts w:hint="eastAsia" w:ascii="ＭＳ 明朝" w:hAnsi="ＭＳ 明朝" w:eastAsia="ＭＳ 明朝"/>
                <w:color w:val="000000" w:themeColor="text1"/>
                <w:sz w:val="18"/>
              </w:rPr>
              <w:t>件</w:t>
            </w:r>
          </w:p>
        </w:tc>
        <w:tc>
          <w:tcPr>
            <w:tcW w:w="1134" w:type="dxa"/>
            <w:tcBorders>
              <w:top w:val="single" w:color="auto" w:sz="4"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665</w:t>
            </w:r>
            <w:r>
              <w:rPr>
                <w:rFonts w:hint="eastAsia" w:ascii="ＭＳ 明朝" w:hAnsi="ＭＳ 明朝" w:eastAsia="ＭＳ 明朝"/>
                <w:color w:val="000000" w:themeColor="text1"/>
                <w:sz w:val="18"/>
              </w:rPr>
              <w:t>件</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448</w:t>
            </w:r>
            <w:r>
              <w:rPr>
                <w:rFonts w:hint="eastAsia" w:ascii="ＭＳ 明朝" w:hAnsi="ＭＳ 明朝" w:eastAsia="ＭＳ 明朝"/>
                <w:color w:val="000000" w:themeColor="text1"/>
                <w:sz w:val="18"/>
              </w:rPr>
              <w:t>件</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643</w:t>
            </w:r>
            <w:r>
              <w:rPr>
                <w:rFonts w:hint="eastAsia" w:ascii="ＭＳ 明朝" w:hAnsi="ＭＳ 明朝" w:eastAsia="ＭＳ 明朝"/>
                <w:color w:val="000000" w:themeColor="text1"/>
                <w:sz w:val="18"/>
              </w:rPr>
              <w:t>件</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1,677</w:t>
            </w:r>
            <w:r>
              <w:rPr>
                <w:rFonts w:hint="eastAsia" w:ascii="ＭＳ 明朝" w:hAnsi="ＭＳ 明朝" w:eastAsia="ＭＳ 明朝"/>
                <w:color w:val="000000" w:themeColor="text1"/>
                <w:sz w:val="18"/>
              </w:rPr>
              <w:t>件</w:t>
            </w:r>
          </w:p>
        </w:tc>
        <w:tc>
          <w:tcPr>
            <w:tcW w:w="1134"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381</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介護保険サービス</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5,164</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879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586</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855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1,149</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1,695</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ケアプラン</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1,741</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303</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311</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250</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144</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733</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認定申請</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2,267</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303</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206</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217</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907</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634</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高齢者虐待</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157</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33</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41</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成年後見制度等</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231</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18</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83</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35</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36</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地域支援事業</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275</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65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17</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163</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spacing w:val="1"/>
                <w:w w:val="91"/>
                <w:kern w:val="0"/>
                <w:fitText w:val="2310" w:id="12"/>
              </w:rPr>
              <w:t>医療・保健・福祉サービ</w:t>
            </w:r>
            <w:r>
              <w:rPr>
                <w:rFonts w:hint="eastAsia" w:ascii="ＭＳ ゴシック" w:hAnsi="ＭＳ ゴシック" w:eastAsia="ＭＳ ゴシック"/>
                <w:spacing w:val="2"/>
                <w:w w:val="91"/>
                <w:kern w:val="0"/>
                <w:fitText w:val="2310" w:id="12"/>
              </w:rPr>
              <w:t>ス</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2,164</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370</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595</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default" w:ascii="ＭＳ 明朝" w:hAnsi="ＭＳ 明朝" w:eastAsia="ＭＳ 明朝"/>
                <w:color w:val="000000" w:themeColor="text1"/>
                <w:sz w:val="18"/>
              </w:rPr>
              <w:t>3</w:t>
            </w:r>
            <w:r>
              <w:rPr>
                <w:rFonts w:hint="eastAsia" w:ascii="ＭＳ 明朝" w:hAnsi="ＭＳ 明朝" w:eastAsia="ＭＳ 明朝"/>
                <w:color w:val="000000" w:themeColor="text1"/>
                <w:sz w:val="18"/>
              </w:rPr>
              <w:t>19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718</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162</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生活上の相談</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3,404</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546</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704</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248</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1,890</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総合事業関係</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701</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w:t>
            </w:r>
            <w:r>
              <w:rPr>
                <w:rFonts w:hint="default" w:ascii="ＭＳ 明朝" w:hAnsi="ＭＳ 明朝" w:eastAsia="ＭＳ 明朝"/>
                <w:color w:val="000000" w:themeColor="text1"/>
                <w:sz w:val="18"/>
              </w:rPr>
              <w:t>1</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w:t>
            </w:r>
            <w:r>
              <w:rPr>
                <w:rFonts w:hint="default" w:ascii="ＭＳ 明朝" w:hAnsi="ＭＳ 明朝" w:eastAsia="ＭＳ 明朝"/>
                <w:color w:val="000000" w:themeColor="text1"/>
                <w:sz w:val="18"/>
              </w:rPr>
              <w:t>0</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78</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26</w:t>
            </w:r>
            <w:r>
              <w:rPr>
                <w:rFonts w:hint="default" w:ascii="ＭＳ 明朝" w:hAnsi="ＭＳ 明朝" w:eastAsia="ＭＳ 明朝"/>
                <w:color w:val="000000" w:themeColor="text1"/>
                <w:sz w:val="18"/>
              </w:rPr>
              <w:t>3</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30</w:t>
            </w:r>
            <w:r>
              <w:rPr>
                <w:rFonts w:hint="default" w:ascii="ＭＳ 明朝" w:hAnsi="ＭＳ 明朝" w:eastAsia="ＭＳ 明朝"/>
                <w:color w:val="000000" w:themeColor="text1"/>
                <w:sz w:val="18"/>
              </w:rPr>
              <w:t>9</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認知症</w:t>
            </w:r>
          </w:p>
        </w:tc>
        <w:tc>
          <w:tcPr>
            <w:tcW w:w="1134" w:type="dxa"/>
            <w:tcBorders>
              <w:top w:val="none" w:color="auto" w:sz="0"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2,027</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89</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143</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371</w:t>
            </w:r>
            <w:r>
              <w:rPr>
                <w:rFonts w:hint="eastAsia" w:ascii="ＭＳ 明朝" w:hAnsi="ＭＳ 明朝" w:eastAsia="ＭＳ 明朝"/>
                <w:color w:val="000000" w:themeColor="text1"/>
                <w:sz w:val="18"/>
              </w:rPr>
              <w:t>件</w:t>
            </w:r>
          </w:p>
        </w:tc>
        <w:tc>
          <w:tcPr>
            <w:tcW w:w="1134" w:type="dxa"/>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235</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1,189</w:t>
            </w:r>
            <w:r>
              <w:rPr>
                <w:rFonts w:hint="eastAsia" w:ascii="ＭＳ 明朝" w:hAnsi="ＭＳ 明朝" w:eastAsia="ＭＳ 明朝"/>
                <w:color w:val="000000" w:themeColor="text1"/>
                <w:sz w:val="18"/>
              </w:rPr>
              <w:t>件</w:t>
            </w:r>
          </w:p>
        </w:tc>
      </w:tr>
      <w:tr>
        <w:trPr/>
        <w:tc>
          <w:tcPr>
            <w:tcW w:w="2693" w:type="dxa"/>
            <w:tcBorders>
              <w:top w:val="none" w:color="auto" w:sz="0" w:space="0"/>
              <w:left w:val="none" w:color="auto" w:sz="0" w:space="0"/>
              <w:bottom w:val="double" w:color="auto" w:sz="4" w:space="0"/>
              <w:right w:val="double" w:color="auto" w:sz="4" w:space="0"/>
              <w:tl2br w:val="none" w:color="auto" w:sz="0" w:space="0"/>
              <w:tr2bl w:val="none" w:color="auto" w:sz="0" w:space="0"/>
            </w:tcBorders>
            <w:shd w:val="clear" w:color="auto" w:fill="BDD6EE"/>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その他</w:t>
            </w:r>
          </w:p>
        </w:tc>
        <w:tc>
          <w:tcPr>
            <w:tcW w:w="1134" w:type="dxa"/>
            <w:tcBorders>
              <w:top w:val="none" w:color="auto" w:sz="0" w:space="0"/>
              <w:left w:val="double" w:color="auto" w:sz="4" w:space="0"/>
              <w:bottom w:val="double" w:color="auto" w:sz="4"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eastAsia" w:ascii="ＭＳ 明朝" w:hAnsi="ＭＳ 明朝" w:eastAsia="ＭＳ 明朝"/>
                <w:color w:val="000000" w:themeColor="text1"/>
                <w:sz w:val="18"/>
              </w:rPr>
              <w:t>1,066</w:t>
            </w:r>
            <w:r>
              <w:rPr>
                <w:rFonts w:hint="eastAsia" w:ascii="ＭＳ 明朝" w:hAnsi="ＭＳ 明朝" w:eastAsia="ＭＳ 明朝"/>
                <w:color w:val="000000" w:themeColor="text1"/>
                <w:sz w:val="18"/>
              </w:rPr>
              <w:t>件</w:t>
            </w:r>
          </w:p>
        </w:tc>
        <w:tc>
          <w:tcPr>
            <w:tcW w:w="1134" w:type="dxa"/>
            <w:tcBorders>
              <w:top w:val="none" w:color="auto" w:sz="0" w:space="0"/>
              <w:left w:val="double" w:color="auto" w:sz="4"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65</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173</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default" w:ascii="ＭＳ 明朝" w:hAnsi="ＭＳ 明朝" w:eastAsia="ＭＳ 明朝"/>
                <w:color w:val="000000" w:themeColor="text1"/>
                <w:sz w:val="18"/>
              </w:rPr>
              <w:t>10</w:t>
            </w:r>
            <w:r>
              <w:rPr>
                <w:rFonts w:hint="eastAsia" w:ascii="ＭＳ 明朝" w:hAnsi="ＭＳ 明朝" w:eastAsia="ＭＳ 明朝"/>
                <w:color w:val="000000" w:themeColor="text1"/>
                <w:sz w:val="18"/>
              </w:rPr>
              <w:t>1</w:t>
            </w:r>
            <w:r>
              <w:rPr>
                <w:rFonts w:hint="eastAsia" w:ascii="ＭＳ 明朝" w:hAnsi="ＭＳ 明朝" w:eastAsia="ＭＳ 明朝"/>
                <w:color w:val="000000" w:themeColor="text1"/>
                <w:sz w:val="18"/>
              </w:rPr>
              <w:t>件</w:t>
            </w:r>
          </w:p>
        </w:tc>
        <w:tc>
          <w:tcPr>
            <w:tcW w:w="1134"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720</w:t>
            </w:r>
            <w:r>
              <w:rPr>
                <w:rFonts w:hint="eastAsia" w:ascii="ＭＳ 明朝" w:hAnsi="ＭＳ 明朝" w:eastAsia="ＭＳ 明朝"/>
                <w:color w:val="000000" w:themeColor="text1"/>
                <w:sz w:val="18"/>
              </w:rPr>
              <w:t>件</w:t>
            </w:r>
          </w:p>
        </w:tc>
      </w:tr>
      <w:tr>
        <w:trPr/>
        <w:tc>
          <w:tcPr>
            <w:tcW w:w="2693" w:type="dxa"/>
            <w:tcBorders>
              <w:top w:val="double" w:color="auto" w:sz="4" w:space="0"/>
              <w:left w:val="none" w:color="auto" w:sz="0" w:space="0"/>
              <w:bottom w:val="dotted" w:color="auto" w:sz="4" w:space="0"/>
              <w:right w:val="double" w:color="auto" w:sz="4" w:space="0"/>
              <w:tl2br w:val="none" w:color="auto" w:sz="0" w:space="0"/>
              <w:tr2bl w:val="none" w:color="auto" w:sz="0" w:space="0"/>
            </w:tcBorders>
            <w:shd w:val="clear" w:color="auto" w:fill="BDD6EE"/>
            <w:vAlign w:val="center"/>
          </w:tcPr>
          <w:p>
            <w:pPr>
              <w:pStyle w:val="0"/>
              <w:jc w:val="right"/>
              <w:rPr>
                <w:rFonts w:hint="default" w:ascii="ＭＳ ゴシック" w:hAnsi="ＭＳ ゴシック" w:eastAsia="ＭＳ ゴシック"/>
              </w:rPr>
            </w:pPr>
            <w:r>
              <w:rPr>
                <w:rFonts w:hint="eastAsia" w:ascii="ＭＳ ゴシック" w:hAnsi="ＭＳ ゴシック" w:eastAsia="ＭＳ ゴシック"/>
              </w:rPr>
              <w:t>総計</w:t>
            </w:r>
          </w:p>
        </w:tc>
        <w:tc>
          <w:tcPr>
            <w:tcW w:w="1134" w:type="dxa"/>
            <w:tcBorders>
              <w:top w:val="double" w:color="auto" w:sz="4" w:space="0"/>
              <w:left w:val="double" w:color="auto" w:sz="4" w:space="0"/>
              <w:bottom w:val="dotted" w:color="auto" w:sz="4" w:space="0"/>
              <w:right w:val="double" w:color="auto" w:sz="4" w:space="0"/>
              <w:tl2br w:val="none" w:color="auto" w:sz="0" w:space="0"/>
              <w:tr2bl w:val="none" w:color="auto" w:sz="0" w:space="0"/>
            </w:tcBorders>
            <w:vAlign w:val="top"/>
          </w:tcPr>
          <w:p>
            <w:pPr>
              <w:pStyle w:val="0"/>
              <w:ind w:left="-15" w:leftChars="-43" w:hanging="88" w:hangingChars="49"/>
              <w:jc w:val="right"/>
              <w:rPr>
                <w:rFonts w:hint="default"/>
                <w:color w:val="000000" w:themeColor="text1"/>
                <w:sz w:val="18"/>
              </w:rPr>
            </w:pPr>
            <w:r>
              <w:rPr>
                <w:rFonts w:hint="eastAsia" w:ascii="ＭＳ 明朝" w:hAnsi="ＭＳ 明朝" w:eastAsia="ＭＳ 明朝"/>
                <w:color w:val="000000" w:themeColor="text1"/>
                <w:sz w:val="18"/>
              </w:rPr>
              <w:t>23,011</w:t>
            </w:r>
            <w:r>
              <w:rPr>
                <w:rFonts w:hint="eastAsia" w:ascii="ＭＳ 明朝" w:hAnsi="ＭＳ 明朝" w:eastAsia="ＭＳ 明朝"/>
                <w:color w:val="000000" w:themeColor="text1"/>
                <w:sz w:val="18"/>
              </w:rPr>
              <w:t>件</w:t>
            </w:r>
          </w:p>
        </w:tc>
        <w:tc>
          <w:tcPr>
            <w:tcW w:w="1134" w:type="dxa"/>
            <w:tcBorders>
              <w:top w:val="double" w:color="auto" w:sz="4" w:space="0"/>
              <w:left w:val="double" w:color="auto" w:sz="4" w:space="0"/>
              <w:bottom w:val="dotted"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3,344</w:t>
            </w:r>
            <w:r>
              <w:rPr>
                <w:rFonts w:hint="eastAsia" w:ascii="ＭＳ 明朝" w:hAnsi="ＭＳ 明朝" w:eastAsia="ＭＳ 明朝"/>
                <w:color w:val="000000" w:themeColor="text1"/>
                <w:sz w:val="18"/>
              </w:rPr>
              <w:t>件</w:t>
            </w:r>
          </w:p>
        </w:tc>
        <w:tc>
          <w:tcPr>
            <w:tcW w:w="1134"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2,434</w:t>
            </w:r>
            <w:r>
              <w:rPr>
                <w:rFonts w:hint="eastAsia" w:ascii="ＭＳ 明朝" w:hAnsi="ＭＳ 明朝" w:eastAsia="ＭＳ 明朝"/>
                <w:color w:val="000000" w:themeColor="text1"/>
                <w:sz w:val="18"/>
              </w:rPr>
              <w:t>件</w:t>
            </w:r>
          </w:p>
        </w:tc>
        <w:tc>
          <w:tcPr>
            <w:tcW w:w="1134"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3,753</w:t>
            </w:r>
            <w:r>
              <w:rPr>
                <w:rFonts w:hint="eastAsia" w:ascii="ＭＳ 明朝" w:hAnsi="ＭＳ 明朝" w:eastAsia="ＭＳ 明朝"/>
                <w:color w:val="000000" w:themeColor="text1"/>
                <w:sz w:val="18"/>
              </w:rPr>
              <w:t>件</w:t>
            </w:r>
          </w:p>
        </w:tc>
        <w:tc>
          <w:tcPr>
            <w:tcW w:w="1134" w:type="dxa"/>
            <w:tcBorders>
              <w:top w:val="double" w:color="auto" w:sz="4" w:space="0"/>
              <w:left w:val="none" w:color="auto" w:sz="0" w:space="0"/>
              <w:bottom w:val="dotted" w:color="auto" w:sz="4"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5,527</w:t>
            </w:r>
            <w:r>
              <w:rPr>
                <w:rFonts w:hint="eastAsia" w:ascii="ＭＳ 明朝" w:hAnsi="ＭＳ 明朝" w:eastAsia="ＭＳ 明朝"/>
                <w:color w:val="000000" w:themeColor="text1"/>
                <w:sz w:val="18"/>
              </w:rPr>
              <w:t>件</w:t>
            </w:r>
          </w:p>
        </w:tc>
        <w:tc>
          <w:tcPr>
            <w:tcW w:w="1134" w:type="dxa"/>
            <w:tcBorders>
              <w:top w:val="double" w:color="auto" w:sz="4" w:space="0"/>
              <w:left w:val="none" w:color="auto" w:sz="0" w:space="0"/>
              <w:bottom w:val="dotted" w:color="auto" w:sz="4"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7,953</w:t>
            </w:r>
            <w:r>
              <w:rPr>
                <w:rFonts w:hint="eastAsia" w:ascii="ＭＳ 明朝" w:hAnsi="ＭＳ 明朝" w:eastAsia="ＭＳ 明朝"/>
                <w:color w:val="000000" w:themeColor="text1"/>
                <w:sz w:val="18"/>
              </w:rPr>
              <w:t>件</w:t>
            </w:r>
          </w:p>
        </w:tc>
      </w:tr>
      <w:tr>
        <w:trPr/>
        <w:tc>
          <w:tcPr>
            <w:tcW w:w="2693" w:type="dxa"/>
            <w:tcBorders>
              <w:top w:val="dotted" w:color="auto" w:sz="4" w:space="0"/>
              <w:left w:val="none" w:color="auto" w:sz="0" w:space="0"/>
              <w:bottom w:val="none" w:color="auto" w:sz="0" w:space="0"/>
              <w:right w:val="double" w:color="auto" w:sz="4" w:space="0"/>
              <w:tl2br w:val="none" w:color="auto" w:sz="0" w:space="0"/>
              <w:tr2bl w:val="none" w:color="auto" w:sz="0" w:space="0"/>
            </w:tcBorders>
            <w:shd w:val="clear" w:color="auto" w:fill="BDD6EE"/>
            <w:vAlign w:val="center"/>
          </w:tcPr>
          <w:p>
            <w:pPr>
              <w:pStyle w:val="0"/>
              <w:jc w:val="right"/>
              <w:rPr>
                <w:rFonts w:hint="default" w:ascii="ＭＳ ゴシック" w:hAnsi="ＭＳ ゴシック" w:eastAsia="ＭＳ ゴシック"/>
              </w:rPr>
            </w:pPr>
            <w:r>
              <w:rPr>
                <w:rFonts w:hint="eastAsia" w:ascii="ＭＳ ゴシック" w:hAnsi="ＭＳ ゴシック" w:eastAsia="ＭＳ ゴシック"/>
              </w:rPr>
              <w:t>割合</w:t>
            </w:r>
          </w:p>
        </w:tc>
        <w:tc>
          <w:tcPr>
            <w:tcW w:w="1134" w:type="dxa"/>
            <w:tcBorders>
              <w:top w:val="dotted" w:color="auto" w:sz="4" w:space="0"/>
              <w:left w:val="double" w:color="auto" w:sz="4" w:space="0"/>
              <w:bottom w:val="none" w:color="auto" w:sz="0" w:space="0"/>
              <w:right w:val="double" w:color="auto" w:sz="4" w:space="0"/>
              <w:tl2br w:val="none" w:color="auto" w:sz="0" w:space="0"/>
              <w:tr2bl w:val="none" w:color="auto" w:sz="0" w:space="0"/>
            </w:tcBorders>
            <w:vAlign w:val="top"/>
          </w:tcPr>
          <w:p>
            <w:pPr>
              <w:pStyle w:val="0"/>
              <w:jc w:val="right"/>
              <w:rPr>
                <w:rFonts w:hint="default"/>
                <w:color w:val="000000" w:themeColor="text1"/>
                <w:sz w:val="18"/>
              </w:rPr>
            </w:pPr>
            <w:r>
              <w:rPr>
                <w:rFonts w:hint="default" w:ascii="ＭＳ 明朝" w:hAnsi="ＭＳ 明朝" w:eastAsia="ＭＳ 明朝"/>
                <w:color w:val="000000" w:themeColor="text1"/>
                <w:sz w:val="18"/>
              </w:rPr>
              <w:t>100.0</w:t>
            </w:r>
            <w:r>
              <w:rPr>
                <w:rFonts w:hint="default" w:ascii="ＭＳ 明朝" w:hAnsi="ＭＳ 明朝" w:eastAsia="ＭＳ 明朝"/>
                <w:color w:val="000000" w:themeColor="text1"/>
                <w:sz w:val="18"/>
              </w:rPr>
              <w:t>％</w:t>
            </w:r>
          </w:p>
        </w:tc>
        <w:tc>
          <w:tcPr>
            <w:tcW w:w="1134" w:type="dxa"/>
            <w:tcBorders>
              <w:top w:val="dotted" w:color="auto" w:sz="4" w:space="0"/>
              <w:left w:val="double" w:color="auto" w:sz="4"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14.5</w:t>
            </w:r>
            <w:r>
              <w:rPr>
                <w:rFonts w:hint="default" w:ascii="ＭＳ 明朝" w:hAnsi="ＭＳ 明朝" w:eastAsia="ＭＳ 明朝"/>
                <w:color w:val="000000" w:themeColor="text1"/>
                <w:sz w:val="18"/>
              </w:rPr>
              <w:t>％</w:t>
            </w:r>
          </w:p>
        </w:tc>
        <w:tc>
          <w:tcPr>
            <w:tcW w:w="113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10.6</w:t>
            </w:r>
            <w:r>
              <w:rPr>
                <w:rFonts w:hint="default" w:ascii="ＭＳ 明朝" w:hAnsi="ＭＳ 明朝" w:eastAsia="ＭＳ 明朝"/>
                <w:color w:val="000000" w:themeColor="text1"/>
                <w:sz w:val="18"/>
              </w:rPr>
              <w:t>％</w:t>
            </w:r>
          </w:p>
        </w:tc>
        <w:tc>
          <w:tcPr>
            <w:tcW w:w="113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16.3</w:t>
            </w:r>
            <w:r>
              <w:rPr>
                <w:rFonts w:hint="default" w:ascii="ＭＳ 明朝" w:hAnsi="ＭＳ 明朝" w:eastAsia="ＭＳ 明朝"/>
                <w:color w:val="000000" w:themeColor="text1"/>
                <w:sz w:val="18"/>
              </w:rPr>
              <w:t>％</w:t>
            </w:r>
          </w:p>
        </w:tc>
        <w:tc>
          <w:tcPr>
            <w:tcW w:w="1134"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24.0</w:t>
            </w:r>
            <w:r>
              <w:rPr>
                <w:rFonts w:hint="default" w:ascii="ＭＳ 明朝" w:hAnsi="ＭＳ 明朝" w:eastAsia="ＭＳ 明朝"/>
                <w:color w:val="000000" w:themeColor="text1"/>
                <w:sz w:val="18"/>
              </w:rPr>
              <w:t>％</w:t>
            </w:r>
          </w:p>
        </w:tc>
        <w:tc>
          <w:tcPr>
            <w:tcW w:w="1134"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jc w:val="right"/>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34.6</w:t>
            </w:r>
            <w:r>
              <w:rPr>
                <w:rFonts w:hint="default" w:ascii="ＭＳ 明朝" w:hAnsi="ＭＳ 明朝" w:eastAsia="ＭＳ 明朝"/>
                <w:color w:val="000000" w:themeColor="text1"/>
                <w:sz w:val="18"/>
              </w:rPr>
              <w:t>％</w:t>
            </w:r>
          </w:p>
        </w:tc>
      </w:tr>
    </w:tbl>
    <w:p>
      <w:pPr>
        <w:pStyle w:val="0"/>
        <w:kinsoku w:val="0"/>
        <w:overflowPunct w:val="0"/>
        <w:ind w:right="-6"/>
        <w:rPr>
          <w:rFonts w:hint="default"/>
        </w:rPr>
      </w:pPr>
    </w:p>
    <w:p>
      <w:pPr>
        <w:pStyle w:val="0"/>
        <w:jc w:val="center"/>
        <w:rPr>
          <w:rFonts w:hint="default"/>
          <w:color w:val="C00000"/>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3</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地域包括支援センターへの相談内容の割合（令和元年度</w:t>
      </w:r>
      <w:r>
        <w:rPr>
          <w:rFonts w:hint="eastAsia" w:ascii="ＭＳ ゴシック" w:hAnsi="ＭＳ ゴシック" w:eastAsia="ＭＳ ゴシック"/>
          <w:color w:val="000000" w:themeColor="text1"/>
          <w:sz w:val="21"/>
        </w:rPr>
        <w:t>(</w:t>
      </w:r>
      <w:r>
        <w:rPr>
          <w:rFonts w:hint="default" w:ascii="ＭＳ ゴシック" w:hAnsi="ＭＳ ゴシック" w:eastAsia="ＭＳ ゴシック"/>
          <w:color w:val="000000" w:themeColor="text1"/>
          <w:sz w:val="21"/>
        </w:rPr>
        <w:t>2019</w:t>
      </w:r>
      <w:r>
        <w:rPr>
          <w:rFonts w:hint="eastAsia" w:ascii="ＭＳ ゴシック" w:hAnsi="ＭＳ ゴシック" w:eastAsia="ＭＳ ゴシック"/>
          <w:color w:val="000000" w:themeColor="text1"/>
          <w:sz w:val="21"/>
        </w:rPr>
        <w:t>年度</w:t>
      </w:r>
      <w:r>
        <w:rPr>
          <w:rFonts w:hint="default"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w:t>
      </w:r>
    </w:p>
    <w:p>
      <w:pPr>
        <w:pStyle w:val="0"/>
        <w:kinsoku w:val="0"/>
        <w:overflowPunct w:val="0"/>
        <w:ind w:right="-6"/>
        <w:jc w:val="center"/>
        <w:rPr>
          <w:rFonts w:hint="default"/>
        </w:rPr>
      </w:pPr>
      <w:r>
        <w:rPr>
          <w:rFonts w:hint="default"/>
        </w:rPr>
        <w:drawing>
          <wp:anchor distT="0" distB="0" distL="114300" distR="114300" simplePos="0" relativeHeight="40" behindDoc="1" locked="0" layoutInCell="1" hidden="0" allowOverlap="1">
            <wp:simplePos x="0" y="0"/>
            <wp:positionH relativeFrom="column">
              <wp:posOffset>147955</wp:posOffset>
            </wp:positionH>
            <wp:positionV relativeFrom="paragraph">
              <wp:posOffset>3175</wp:posOffset>
            </wp:positionV>
            <wp:extent cx="5893435" cy="3382010"/>
            <wp:effectExtent l="0" t="0" r="0" b="0"/>
            <wp:wrapNone/>
            <wp:docPr id="1118" name="Picture 36"/>
            <a:graphic xmlns:a="http://schemas.openxmlformats.org/drawingml/2006/main">
              <a:graphicData uri="http://schemas.openxmlformats.org/drawingml/2006/picture">
                <pic:pic xmlns:pic="http://schemas.openxmlformats.org/drawingml/2006/picture">
                  <pic:nvPicPr>
                    <pic:cNvPr id="1118" name="Picture 36"/>
                    <pic:cNvPicPr>
                      <a:picLocks noChangeAspect="1" noChangeArrowheads="1"/>
                    </pic:cNvPicPr>
                  </pic:nvPicPr>
                  <pic:blipFill>
                    <a:blip r:embed="rId75"/>
                    <a:srcRect r="23811"/>
                    <a:stretch>
                      <a:fillRect/>
                    </a:stretch>
                  </pic:blipFill>
                  <pic:spPr>
                    <a:xfrm>
                      <a:off x="0" y="0"/>
                      <a:ext cx="5893435" cy="3382010"/>
                    </a:xfrm>
                    <a:prstGeom prst="rect">
                      <a:avLst/>
                    </a:prstGeom>
                    <a:noFill/>
                    <a:ln>
                      <a:noFill/>
                    </a:ln>
                  </pic:spPr>
                </pic:pic>
              </a:graphicData>
            </a:graphic>
          </wp:anchor>
        </w:drawing>
      </w:r>
    </w:p>
    <w:p>
      <w:pPr>
        <w:pStyle w:val="0"/>
        <w:kinsoku w:val="0"/>
        <w:overflowPunct w:val="0"/>
        <w:ind w:right="-6"/>
        <w:rPr>
          <w:rFonts w:hint="default"/>
          <w:color w:val="0070C0"/>
        </w:rPr>
      </w:pPr>
    </w:p>
    <w:p>
      <w:pPr>
        <w:pStyle w:val="0"/>
        <w:kinsoku w:val="0"/>
        <w:overflowPunct w:val="0"/>
        <w:ind w:right="-6"/>
        <w:rPr>
          <w:rFonts w:hint="default"/>
          <w:color w:val="0070C0"/>
        </w:rPr>
      </w:pPr>
    </w:p>
    <w:p>
      <w:pPr>
        <w:pStyle w:val="0"/>
        <w:kinsoku w:val="0"/>
        <w:overflowPunct w:val="0"/>
        <w:ind w:right="-6"/>
        <w:rPr>
          <w:rFonts w:hint="default"/>
          <w:color w:val="0070C0"/>
        </w:rPr>
      </w:pPr>
    </w:p>
    <w:p>
      <w:pPr>
        <w:pStyle w:val="0"/>
        <w:kinsoku w:val="0"/>
        <w:overflowPunct w:val="0"/>
        <w:ind w:right="-6"/>
        <w:rPr>
          <w:rFonts w:hint="default"/>
          <w:color w:val="0070C0"/>
        </w:rPr>
      </w:pPr>
    </w:p>
    <w:p>
      <w:pPr>
        <w:pStyle w:val="0"/>
        <w:kinsoku w:val="0"/>
        <w:overflowPunct w:val="0"/>
        <w:ind w:right="-6"/>
        <w:rPr>
          <w:rFonts w:hint="default"/>
          <w:color w:val="0070C0"/>
        </w:rPr>
      </w:pPr>
    </w:p>
    <w:p>
      <w:pPr>
        <w:pStyle w:val="0"/>
        <w:kinsoku w:val="0"/>
        <w:overflowPunct w:val="0"/>
        <w:ind w:right="-6"/>
        <w:rPr>
          <w:rFonts w:hint="default"/>
          <w:color w:val="0070C0"/>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②基幹型及び機能強化型地域包括支援センターの運営</w:t>
      </w:r>
    </w:p>
    <w:p>
      <w:pPr>
        <w:pStyle w:val="0"/>
        <w:kinsoku w:val="0"/>
        <w:overflowPunct w:val="0"/>
        <w:ind w:left="960" w:leftChars="300" w:hanging="240" w:hangingChars="100"/>
        <w:jc w:val="both"/>
        <w:rPr>
          <w:rFonts w:hint="default"/>
        </w:rPr>
      </w:pPr>
      <w:r>
        <w:rPr>
          <w:rFonts w:hint="eastAsia"/>
        </w:rPr>
        <w:t>○　高齢化の進展やそれに伴う相談件数の増加等への対応、更には「在宅医療・介護連携」、「認知症施策の推進」、「地域ケア会議の充実」、「総合事業の推進」などに取り組み、さらなる地域包括ケアシステムの充実を推進する必要があることから、市直営の地域包括支援センターは、担当区域の高齢者支援を行う従来型の機能に加え、各センター間の総合調整や、市域全体にかかわる課題の把握と、施策展開のコントロールタワーとしての役割を担う基幹型の機能と、認知症支援や高齢者虐待など個別分野における各センターの後方支援を行う機能強化型の機能を担いました。</w:t>
      </w:r>
    </w:p>
    <w:p>
      <w:pPr>
        <w:pStyle w:val="0"/>
        <w:kinsoku w:val="0"/>
        <w:overflowPunct w:val="0"/>
        <w:ind w:left="960" w:leftChars="300" w:hanging="240" w:hangingChars="100"/>
        <w:jc w:val="both"/>
        <w:rPr>
          <w:rFonts w:hint="default"/>
        </w:rPr>
      </w:pPr>
      <w:r>
        <w:rPr>
          <w:rFonts w:hint="eastAsia"/>
        </w:rPr>
        <w:t>○　基幹型地域包括支援センターとして、従来型地域包括支援センター間の業務調整会議や研修、困難事例への相談支援等活動推進のための体制維持・強化を行うとともに、地域ネットワークの構築に対する支援や地域課題の解決に向けた支援など地域包括ケアシステムの構築・推進に向けた機能を担いました。</w:t>
      </w:r>
    </w:p>
    <w:p>
      <w:pPr>
        <w:pStyle w:val="0"/>
        <w:kinsoku w:val="0"/>
        <w:overflowPunct w:val="0"/>
        <w:ind w:left="960" w:leftChars="300" w:hanging="240" w:hangingChars="100"/>
        <w:jc w:val="both"/>
        <w:rPr>
          <w:rFonts w:hint="default"/>
        </w:rPr>
      </w:pPr>
      <w:r>
        <w:rPr>
          <w:rFonts w:hint="eastAsia"/>
        </w:rPr>
        <w:t>○　機能強化型地域包括支援センターとして、認知症の予防と啓発の推進を図り相談支援体制を整備して関係機関とのネットワーク構築を図るとともに、権利擁護業務にかかる困難ケースについて個別分野ごとに従来型地域包括支援センターの後方支援を行いました。</w:t>
      </w:r>
    </w:p>
    <w:p>
      <w:pPr>
        <w:pStyle w:val="0"/>
        <w:rPr>
          <w:rFonts w:hint="default"/>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③地域包括支援センターの適切な運営及び評価</w:t>
      </w:r>
    </w:p>
    <w:p>
      <w:pPr>
        <w:pStyle w:val="0"/>
        <w:ind w:left="480" w:leftChars="200"/>
        <w:jc w:val="both"/>
        <w:rPr>
          <w:rFonts w:hint="default"/>
        </w:rPr>
      </w:pPr>
      <w:r>
        <w:rPr>
          <w:rFonts w:hint="eastAsia"/>
        </w:rPr>
        <w:t>　地域包括支援センターの活動については、箕面市地域包括支援センター運営基本方針を定めるとともに、国における評価指標に併せて市独自評価指標を設定し、その指標に基づき「箕面市介護サービス評価専門員会議」において継続的に評価点検を行っていくとともに、実地指導を行い適切な運営を行いました。</w:t>
      </w:r>
    </w:p>
    <w:p>
      <w:pPr>
        <w:pStyle w:val="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④地域包括支援センター職員の人材育成</w:t>
      </w:r>
    </w:p>
    <w:p>
      <w:pPr>
        <w:pStyle w:val="0"/>
        <w:ind w:left="480" w:leftChars="200"/>
        <w:jc w:val="both"/>
        <w:rPr>
          <w:rFonts w:hint="default"/>
        </w:rPr>
      </w:pPr>
      <w:r>
        <w:rPr>
          <w:rFonts w:hint="eastAsia"/>
        </w:rPr>
        <w:t>　地域包括支援センターで対応している高齢者等の生活課題が多様化・複雑化する中で、適切に対処できるよう、研修の機会を確保しました。また、情報提供の充実を図り、地域包括支援センター職員のスキルアップへの支援を進めました。</w:t>
      </w:r>
    </w:p>
    <w:p>
      <w:pPr>
        <w:pStyle w:val="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⑤地域ケア会議の充実に向けた内容や機能の明確化</w:t>
      </w:r>
    </w:p>
    <w:p>
      <w:pPr>
        <w:pStyle w:val="0"/>
        <w:ind w:left="960" w:leftChars="300" w:hanging="240" w:hangingChars="100"/>
        <w:jc w:val="both"/>
        <w:rPr>
          <w:rFonts w:hint="default"/>
        </w:rPr>
      </w:pPr>
      <w:r>
        <w:rPr>
          <w:rFonts w:hint="eastAsia"/>
        </w:rPr>
        <w:t>○　市は、ケアマネジャー、保健医療福祉に関する専門的知識を有するかた、民生委員・児童委員その他関係者、関係機関及び関係団体により構成される会議（以下、「地域ケア会議」という。）を開催しました。</w:t>
      </w:r>
    </w:p>
    <w:p>
      <w:pPr>
        <w:pStyle w:val="0"/>
        <w:ind w:left="960" w:leftChars="300" w:hanging="240" w:hangingChars="100"/>
        <w:jc w:val="both"/>
        <w:rPr>
          <w:rFonts w:hint="default"/>
        </w:rPr>
      </w:pPr>
      <w:r>
        <w:rPr>
          <w:rFonts w:hint="eastAsia"/>
        </w:rPr>
        <w:t>○　地域ケア会議には、「個別課題の解決」、「地域包括支援ネットワークの構築」、「地域課題の発見」、「地域づくり、資源開発」、「政策の形成」の５つの機能があり、この５つの機能を推進し、高齢者個人への支援の充実とそれを支える社会基盤の整備を同時に図ることが重要です。</w:t>
      </w:r>
      <w:r>
        <w:rPr>
          <w:rFonts w:hint="eastAsia"/>
          <w:color w:val="000000" w:themeColor="text1"/>
        </w:rPr>
        <w:t>（図表</w:t>
      </w:r>
      <w:r>
        <w:rPr>
          <w:rFonts w:hint="eastAsia"/>
          <w:color w:val="000000" w:themeColor="text1"/>
        </w:rPr>
        <w:t>74</w:t>
      </w:r>
      <w:r>
        <w:rPr>
          <w:rFonts w:hint="eastAsia"/>
          <w:color w:val="000000" w:themeColor="text1"/>
        </w:rPr>
        <w:t>参照）</w:t>
      </w:r>
    </w:p>
    <w:p>
      <w:pPr>
        <w:pStyle w:val="0"/>
        <w:ind w:left="960" w:leftChars="300" w:hanging="240" w:hangingChars="100"/>
        <w:jc w:val="both"/>
        <w:rPr>
          <w:rFonts w:hint="default"/>
        </w:rPr>
      </w:pPr>
      <w:r>
        <w:rPr>
          <w:rFonts w:hint="eastAsia"/>
        </w:rPr>
        <w:t>○　個別課題解決機能を持つ地域ケア会議として、従来型地域包括支援センターが、①自立支援型個別会議、②困難事案個別会議、③虐待事案個別会議を主催しました。</w:t>
      </w:r>
    </w:p>
    <w:p>
      <w:pPr>
        <w:pStyle w:val="0"/>
        <w:ind w:left="960" w:leftChars="300" w:hanging="240" w:hangingChars="100"/>
        <w:jc w:val="both"/>
        <w:rPr>
          <w:rFonts w:hint="default"/>
        </w:rPr>
      </w:pPr>
      <w:r>
        <w:rPr>
          <w:rFonts w:hint="eastAsia"/>
        </w:rPr>
        <w:t>○　地域課題発見機能やネットワーク構築機能を持つ地域ケア会議として、市が、①多職種連携元気サポート会議、②困難事案レビュー会議、③虐待事案レビュー会議を主催しました。</w:t>
      </w:r>
    </w:p>
    <w:p>
      <w:pPr>
        <w:pStyle w:val="0"/>
        <w:ind w:left="960" w:leftChars="300" w:hanging="240" w:hangingChars="100"/>
        <w:jc w:val="both"/>
        <w:rPr>
          <w:rFonts w:hint="default"/>
        </w:rPr>
      </w:pPr>
      <w:r>
        <w:rPr>
          <w:rFonts w:hint="eastAsia"/>
        </w:rPr>
        <w:t>○　各種地域ケア会議において多様な専門職、住民等の地域関係者によって個別ケースの検討を重ねることにより、地域の共通課題を関係者で共有しました。</w:t>
      </w:r>
    </w:p>
    <w:p>
      <w:pPr>
        <w:pStyle w:val="0"/>
        <w:rPr>
          <w:rFonts w:hint="default"/>
          <w:color w:val="C00000"/>
        </w:rPr>
      </w:pPr>
    </w:p>
    <w:p>
      <w:pPr>
        <w:pStyle w:val="0"/>
        <w:jc w:val="center"/>
        <w:rPr>
          <w:rFonts w:hint="default"/>
          <w:color w:val="C00000"/>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4</w:t>
      </w:r>
      <w:r>
        <w:rPr>
          <w:rFonts w:hint="eastAsia"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 xml:space="preserve"> </w:t>
      </w:r>
      <w:r>
        <w:rPr>
          <w:rFonts w:hint="eastAsia" w:ascii="ＭＳ ゴシック" w:hAnsi="ＭＳ ゴシック" w:eastAsia="ＭＳ ゴシック"/>
          <w:color w:val="000000" w:themeColor="text1"/>
          <w:sz w:val="21"/>
        </w:rPr>
        <w:t>第７期計画期間中の地域ケア会議の体制</w:t>
      </w:r>
    </w:p>
    <w:p>
      <w:pPr>
        <w:pStyle w:val="0"/>
        <w:jc w:val="center"/>
        <w:rPr>
          <w:rFonts w:hint="default"/>
        </w:rPr>
      </w:pPr>
      <w:r>
        <w:rPr>
          <w:rFonts w:hint="eastAsia"/>
        </w:rPr>
        <w:drawing>
          <wp:inline distT="0" distB="0" distL="0" distR="0">
            <wp:extent cx="5657850" cy="4236085"/>
            <wp:effectExtent l="0" t="0" r="0" b="0"/>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76"/>
                    <a:stretch>
                      <a:fillRect/>
                    </a:stretch>
                  </pic:blipFill>
                  <pic:spPr>
                    <a:xfrm>
                      <a:off x="0" y="0"/>
                      <a:ext cx="5657850" cy="4236085"/>
                    </a:xfrm>
                    <a:prstGeom prst="rect">
                      <a:avLst/>
                    </a:prstGeom>
                  </pic:spPr>
                </pic:pic>
              </a:graphicData>
            </a:graphic>
          </wp:inline>
        </w:drawing>
      </w:r>
    </w:p>
    <w:p>
      <w:pPr>
        <w:pStyle w:val="0"/>
        <w:ind w:firstLine="720" w:firstLineChars="300"/>
        <w:rPr>
          <w:rFonts w:hint="default"/>
          <w:color w:val="FF0000"/>
        </w:rPr>
      </w:pPr>
      <w:r>
        <w:rPr>
          <w:rFonts w:hint="eastAsia"/>
        </w:rPr>
        <w:br w:type="page"/>
      </w:r>
    </w:p>
    <w:p>
      <w:pPr>
        <w:pStyle w:val="6"/>
        <w:ind w:left="0" w:leftChars="0" w:firstLine="480" w:firstLineChars="200"/>
        <w:rPr>
          <w:rFonts w:hint="default" w:ascii="ＭＳ ゴシック" w:hAnsi="ＭＳ ゴシック" w:eastAsia="ＭＳ ゴシック"/>
          <w:b w:val="0"/>
        </w:rPr>
      </w:pPr>
      <w:r>
        <w:rPr>
          <w:rFonts w:hint="eastAsia" w:ascii="ＭＳ ゴシック" w:hAnsi="ＭＳ ゴシック" w:eastAsia="ＭＳ ゴシック"/>
          <w:b w:val="0"/>
        </w:rPr>
        <w:t>c</w:t>
      </w:r>
      <w:r>
        <w:rPr>
          <w:rFonts w:hint="eastAsia" w:ascii="ＭＳ ゴシック" w:hAnsi="ＭＳ ゴシック" w:eastAsia="ＭＳ ゴシック"/>
          <w:b w:val="0"/>
        </w:rPr>
        <w:t>）総合事業（みのおあんしん生活サポート事業）の実施</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①本市の総合事業</w:t>
      </w:r>
    </w:p>
    <w:p>
      <w:pPr>
        <w:pStyle w:val="0"/>
        <w:ind w:left="480" w:leftChars="100" w:hanging="240" w:hangingChars="100"/>
        <w:jc w:val="both"/>
        <w:rPr>
          <w:rFonts w:hint="default"/>
        </w:rPr>
      </w:pPr>
      <w:r>
        <w:rPr>
          <w:rFonts w:hint="eastAsia"/>
        </w:rPr>
        <w:t>　　総合事業は、地域包括支援センターが行う介護予防ケアマネジメントと、自立支援に向けたサービスを利用することで、心身機能の改善や日常生活場面の活動性を高め、社会参加を促し、高齢者のかたが生きがいや役割・目標をもって暮らせるようにする事業です。総合事業の推進により、元気な高齢者が増えて、要介護認定を受けるかたが減り、高齢者の「生活の質」が向上して、結果として介護保険料の上昇も抑えられることを目的としています。</w:t>
      </w:r>
    </w:p>
    <w:p>
      <w:pPr>
        <w:pStyle w:val="0"/>
        <w:ind w:left="480" w:hanging="480" w:hangingChars="200"/>
        <w:jc w:val="both"/>
        <w:rPr>
          <w:rFonts w:hint="default"/>
        </w:rPr>
      </w:pPr>
      <w:r>
        <w:rPr>
          <w:rFonts w:hint="eastAsia"/>
        </w:rPr>
        <w:t>　　　なお、総合事業の令和元年度</w:t>
      </w:r>
      <w:r>
        <w:rPr>
          <w:rFonts w:hint="eastAsia"/>
        </w:rPr>
        <w:t>(2019</w:t>
      </w:r>
      <w:r>
        <w:rPr>
          <w:rFonts w:hint="eastAsia"/>
        </w:rPr>
        <w:t>年度</w:t>
      </w:r>
      <w:r>
        <w:rPr>
          <w:rFonts w:hint="eastAsia"/>
        </w:rPr>
        <w:t>)</w:t>
      </w:r>
      <w:r>
        <w:rPr>
          <w:rFonts w:hint="eastAsia"/>
        </w:rPr>
        <w:t>の延べ利用件数は、訪問型サービスが</w:t>
      </w:r>
      <w:r>
        <w:rPr>
          <w:rFonts w:hint="eastAsia"/>
        </w:rPr>
        <w:t>5,345</w:t>
      </w:r>
      <w:r>
        <w:rPr>
          <w:rFonts w:hint="eastAsia"/>
        </w:rPr>
        <w:t>件、通所型サービスが</w:t>
      </w:r>
      <w:r>
        <w:rPr>
          <w:rFonts w:hint="eastAsia"/>
        </w:rPr>
        <w:t>7,746</w:t>
      </w:r>
      <w:r>
        <w:rPr>
          <w:rFonts w:hint="eastAsia"/>
        </w:rPr>
        <w:t>件、介護予防ケアマネジメントが</w:t>
      </w:r>
      <w:r>
        <w:rPr>
          <w:rFonts w:hint="eastAsia"/>
        </w:rPr>
        <w:t>7,408</w:t>
      </w:r>
      <w:r>
        <w:rPr>
          <w:rFonts w:hint="eastAsia"/>
        </w:rPr>
        <w:t>件で、平成</w:t>
      </w:r>
      <w:r>
        <w:rPr>
          <w:rFonts w:hint="eastAsia"/>
        </w:rPr>
        <w:t>29</w:t>
      </w:r>
      <w:r>
        <w:rPr>
          <w:rFonts w:hint="eastAsia"/>
        </w:rPr>
        <w:t>年度</w:t>
      </w:r>
      <w:r>
        <w:rPr>
          <w:rFonts w:hint="eastAsia"/>
        </w:rPr>
        <w:t>(2017</w:t>
      </w:r>
      <w:r>
        <w:rPr>
          <w:rFonts w:hint="eastAsia"/>
        </w:rPr>
        <w:t>年度</w:t>
      </w:r>
      <w:r>
        <w:rPr>
          <w:rFonts w:hint="eastAsia"/>
        </w:rPr>
        <w:t>)</w:t>
      </w:r>
      <w:r>
        <w:rPr>
          <w:rFonts w:hint="eastAsia"/>
        </w:rPr>
        <w:t>の各</w:t>
      </w:r>
      <w:r>
        <w:rPr>
          <w:rFonts w:hint="eastAsia"/>
        </w:rPr>
        <w:t>0.97</w:t>
      </w:r>
      <w:r>
        <w:rPr>
          <w:rFonts w:hint="eastAsia"/>
        </w:rPr>
        <w:t>倍、</w:t>
      </w:r>
      <w:r>
        <w:rPr>
          <w:rFonts w:hint="eastAsia"/>
        </w:rPr>
        <w:t>1.10</w:t>
      </w:r>
      <w:r>
        <w:rPr>
          <w:rFonts w:hint="eastAsia"/>
        </w:rPr>
        <w:t>倍、</w:t>
      </w:r>
      <w:r>
        <w:rPr>
          <w:rFonts w:hint="eastAsia"/>
        </w:rPr>
        <w:t>1.00</w:t>
      </w:r>
      <w:r>
        <w:rPr>
          <w:rFonts w:hint="eastAsia"/>
        </w:rPr>
        <w:t>倍となっています。</w:t>
      </w:r>
      <w:r>
        <w:rPr>
          <w:rFonts w:hint="default"/>
        </w:rPr>
        <w:t>事業所指定数について</w:t>
      </w:r>
      <w:r>
        <w:rPr>
          <w:rFonts w:hint="eastAsia"/>
        </w:rPr>
        <w:t>は</w:t>
      </w:r>
      <w:r>
        <w:rPr>
          <w:rFonts w:hint="default"/>
        </w:rPr>
        <w:t>、平成</w:t>
      </w:r>
      <w:r>
        <w:rPr>
          <w:rFonts w:hint="default"/>
        </w:rPr>
        <w:t>28</w:t>
      </w:r>
      <w:r>
        <w:rPr>
          <w:rFonts w:hint="default"/>
        </w:rPr>
        <w:t>年</w:t>
      </w:r>
      <w:r>
        <w:rPr>
          <w:rFonts w:hint="eastAsia"/>
        </w:rPr>
        <w:t>(2016</w:t>
      </w:r>
      <w:r>
        <w:rPr>
          <w:rFonts w:hint="eastAsia"/>
        </w:rPr>
        <w:t>年</w:t>
      </w:r>
      <w:r>
        <w:rPr>
          <w:rFonts w:hint="eastAsia"/>
        </w:rPr>
        <w:t>)</w:t>
      </w:r>
      <w:r>
        <w:rPr>
          <w:rFonts w:hint="default"/>
        </w:rPr>
        <w:t>４月以降</w:t>
      </w:r>
      <w:r>
        <w:rPr>
          <w:rFonts w:hint="eastAsia"/>
        </w:rPr>
        <w:t>はほぼ横ばいで、令和２</w:t>
      </w:r>
      <w:r>
        <w:rPr>
          <w:rFonts w:hint="default"/>
        </w:rPr>
        <w:t>年</w:t>
      </w:r>
      <w:r>
        <w:rPr>
          <w:rFonts w:hint="eastAsia"/>
        </w:rPr>
        <w:t>(2020</w:t>
      </w:r>
      <w:r>
        <w:rPr>
          <w:rFonts w:hint="eastAsia"/>
        </w:rPr>
        <w:t>年</w:t>
      </w:r>
      <w:r>
        <w:rPr>
          <w:rFonts w:hint="eastAsia"/>
        </w:rPr>
        <w:t>)</w:t>
      </w:r>
      <w:r>
        <w:rPr>
          <w:rFonts w:hint="eastAsia"/>
        </w:rPr>
        <w:t>４</w:t>
      </w:r>
      <w:r>
        <w:rPr>
          <w:rFonts w:hint="default"/>
        </w:rPr>
        <w:t>月時点で</w:t>
      </w:r>
      <w:r>
        <w:rPr>
          <w:rFonts w:hint="eastAsia"/>
        </w:rPr>
        <w:t>59</w:t>
      </w:r>
      <w:r>
        <w:rPr>
          <w:rFonts w:hint="default"/>
        </w:rPr>
        <w:t>事業所となっています</w:t>
      </w:r>
      <w:r>
        <w:rPr>
          <w:rFonts w:hint="eastAsia"/>
        </w:rPr>
        <w:t>。</w:t>
      </w:r>
    </w:p>
    <w:p>
      <w:pPr>
        <w:pStyle w:val="0"/>
        <w:ind w:left="240" w:leftChars="100"/>
        <w:rPr>
          <w:rFonts w:hint="default"/>
        </w:rPr>
      </w:pPr>
    </w:p>
    <w:p>
      <w:pPr>
        <w:pStyle w:val="0"/>
        <w:ind w:firstLine="210" w:firstLineChars="100"/>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7</w:t>
      </w:r>
      <w:r>
        <w:rPr>
          <w:rFonts w:hint="default" w:ascii="ＭＳ ゴシック" w:hAnsi="ＭＳ ゴシック" w:eastAsia="ＭＳ ゴシック"/>
          <w:sz w:val="21"/>
        </w:rPr>
        <w:t>5</w:t>
      </w:r>
      <w:r>
        <w:rPr>
          <w:rFonts w:hint="default" w:ascii="ＭＳ ゴシック" w:hAnsi="ＭＳ ゴシック" w:eastAsia="ＭＳ ゴシック"/>
          <w:sz w:val="21"/>
        </w:rPr>
        <w:t>：</w:t>
      </w:r>
      <w:r>
        <w:rPr>
          <w:rFonts w:hint="eastAsia" w:ascii="ＭＳ ゴシック" w:hAnsi="ＭＳ ゴシック" w:eastAsia="ＭＳ ゴシック"/>
          <w:sz w:val="21"/>
        </w:rPr>
        <w:t>総合事業　事業対象者数の推移　　　　　図表</w:t>
      </w:r>
      <w:r>
        <w:rPr>
          <w:rFonts w:hint="default" w:ascii="ＭＳ ゴシック" w:hAnsi="ＭＳ ゴシック" w:eastAsia="ＭＳ ゴシック"/>
          <w:sz w:val="21"/>
        </w:rPr>
        <w:t>76</w:t>
      </w:r>
      <w:r>
        <w:rPr>
          <w:rFonts w:hint="default" w:ascii="ＭＳ ゴシック" w:hAnsi="ＭＳ ゴシック" w:eastAsia="ＭＳ ゴシック"/>
          <w:sz w:val="21"/>
        </w:rPr>
        <w:t>：総合事業の　事業所指定数の推移</w:t>
      </w:r>
    </w:p>
    <w:p>
      <w:pPr>
        <w:pStyle w:val="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41" behindDoc="0" locked="0" layoutInCell="1" hidden="0" allowOverlap="1">
            <wp:simplePos x="0" y="0"/>
            <wp:positionH relativeFrom="column">
              <wp:posOffset>2545715</wp:posOffset>
            </wp:positionH>
            <wp:positionV relativeFrom="paragraph">
              <wp:posOffset>43815</wp:posOffset>
            </wp:positionV>
            <wp:extent cx="3969385" cy="2359025"/>
            <wp:effectExtent l="0" t="0" r="0" b="0"/>
            <wp:wrapNone/>
            <wp:docPr id="1120" name="Picture 39"/>
            <a:graphic xmlns:a="http://schemas.openxmlformats.org/drawingml/2006/main">
              <a:graphicData uri="http://schemas.openxmlformats.org/drawingml/2006/picture">
                <pic:pic xmlns:pic="http://schemas.openxmlformats.org/drawingml/2006/picture">
                  <pic:nvPicPr>
                    <pic:cNvPr id="1120" name="Picture 39"/>
                    <pic:cNvPicPr>
                      <a:picLocks noChangeAspect="1" noChangeArrowheads="1"/>
                    </pic:cNvPicPr>
                  </pic:nvPicPr>
                  <pic:blipFill>
                    <a:blip r:embed="rId77"/>
                    <a:srcRect r="37833" b="5399"/>
                    <a:stretch>
                      <a:fillRect/>
                    </a:stretch>
                  </pic:blipFill>
                  <pic:spPr>
                    <a:xfrm>
                      <a:off x="0" y="0"/>
                      <a:ext cx="3969385" cy="2359025"/>
                    </a:xfrm>
                    <a:prstGeom prst="rect">
                      <a:avLst/>
                    </a:prstGeom>
                    <a:noFill/>
                    <a:ln>
                      <a:noFill/>
                    </a:ln>
                  </pic:spPr>
                </pic:pic>
              </a:graphicData>
            </a:graphic>
          </wp:anchor>
        </w:drawing>
      </w:r>
      <w:r>
        <w:rPr>
          <w:rFonts w:hint="default" w:ascii="ＭＳ ゴシック" w:hAnsi="ＭＳ ゴシック" w:eastAsia="ＭＳ ゴシック"/>
        </w:rPr>
        <w:drawing>
          <wp:anchor distT="0" distB="0" distL="114300" distR="114300" simplePos="0" relativeHeight="42" behindDoc="1" locked="0" layoutInCell="1" hidden="0" allowOverlap="1">
            <wp:simplePos x="0" y="0"/>
            <wp:positionH relativeFrom="column">
              <wp:posOffset>3810</wp:posOffset>
            </wp:positionH>
            <wp:positionV relativeFrom="paragraph">
              <wp:posOffset>29845</wp:posOffset>
            </wp:positionV>
            <wp:extent cx="2587625" cy="2458720"/>
            <wp:effectExtent l="0" t="0" r="0" b="0"/>
            <wp:wrapNone/>
            <wp:docPr id="1121" name="Picture 37"/>
            <a:graphic xmlns:a="http://schemas.openxmlformats.org/drawingml/2006/main">
              <a:graphicData uri="http://schemas.openxmlformats.org/drawingml/2006/picture">
                <pic:pic xmlns:pic="http://schemas.openxmlformats.org/drawingml/2006/picture">
                  <pic:nvPicPr>
                    <pic:cNvPr id="1121" name="Picture 37"/>
                    <pic:cNvPicPr>
                      <a:picLocks noChangeAspect="1" noChangeArrowheads="1"/>
                    </pic:cNvPicPr>
                  </pic:nvPicPr>
                  <pic:blipFill>
                    <a:blip r:embed="rId78"/>
                    <a:srcRect r="16895"/>
                    <a:stretch>
                      <a:fillRect/>
                    </a:stretch>
                  </pic:blipFill>
                  <pic:spPr>
                    <a:xfrm>
                      <a:off x="0" y="0"/>
                      <a:ext cx="2587625" cy="2458720"/>
                    </a:xfrm>
                    <a:prstGeom prst="rect">
                      <a:avLst/>
                    </a:prstGeom>
                    <a:noFill/>
                    <a:ln>
                      <a:noFill/>
                    </a:ln>
                  </pic:spPr>
                </pic:pic>
              </a:graphicData>
            </a:graphic>
          </wp:anchor>
        </w:drawing>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ind w:firstLine="180" w:firstLineChars="100"/>
        <w:rPr>
          <w:rFonts w:hint="default"/>
        </w:rPr>
      </w:pPr>
      <w:r>
        <w:rPr>
          <w:rFonts w:hint="eastAsia"/>
          <w:sz w:val="18"/>
        </w:rPr>
        <w:t>※各年度３月末</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②本市の総合事業の特徴</w:t>
      </w:r>
    </w:p>
    <w:p>
      <w:pPr>
        <w:pStyle w:val="0"/>
        <w:ind w:left="480" w:leftChars="200" w:firstLine="240" w:firstLineChars="100"/>
        <w:jc w:val="both"/>
        <w:rPr>
          <w:rFonts w:hint="default" w:ascii="ＭＳ ゴシック" w:hAnsi="ＭＳ ゴシック" w:eastAsia="ＭＳ ゴシック"/>
          <w:color w:val="0070C0"/>
          <w:sz w:val="28"/>
        </w:rPr>
      </w:pPr>
      <w:r>
        <w:rPr>
          <w:rFonts w:hint="eastAsia"/>
        </w:rPr>
        <w:t>本市の総合事業の特徴は</w:t>
      </w:r>
      <w:r>
        <w:rPr>
          <w:rFonts w:hint="default"/>
        </w:rPr>
        <w:t>、市高齢福祉室に配置されたリハビリテーション専門職が</w:t>
      </w:r>
      <w:r>
        <w:rPr>
          <w:rFonts w:hint="eastAsia"/>
        </w:rPr>
        <w:t>地域包括支援センターごとの</w:t>
      </w:r>
      <w:r>
        <w:rPr>
          <w:rFonts w:hint="default"/>
        </w:rPr>
        <w:t>担当</w:t>
      </w:r>
      <w:r>
        <w:rPr>
          <w:rFonts w:hint="eastAsia"/>
        </w:rPr>
        <w:t>制により、</w:t>
      </w:r>
      <w:r>
        <w:rPr>
          <w:rFonts w:hint="default"/>
        </w:rPr>
        <w:t>総合事業の利用にあたって、地域包括支援センター職員やケアマネジャーとともに高齢者宅を訪問し、専門的な視点で本人の心身状態を把握し、「自立支援型</w:t>
      </w:r>
      <w:r>
        <w:rPr>
          <w:rFonts w:hint="eastAsia"/>
        </w:rPr>
        <w:t>個別</w:t>
      </w:r>
      <w:r>
        <w:rPr>
          <w:rFonts w:hint="default"/>
        </w:rPr>
        <w:t>会議」で適切なサービス利用につなげ</w:t>
      </w:r>
      <w:r>
        <w:rPr>
          <w:rFonts w:hint="eastAsia"/>
        </w:rPr>
        <w:t>てい</w:t>
      </w:r>
      <w:r>
        <w:rPr>
          <w:rFonts w:hint="default"/>
        </w:rPr>
        <w:t>ます。</w:t>
      </w:r>
    </w:p>
    <w:p>
      <w:pPr>
        <w:pStyle w:val="0"/>
        <w:rPr>
          <w:rFonts w:hint="default"/>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③総合事業の類型（令和２年</w:t>
      </w:r>
      <w:r>
        <w:rPr>
          <w:rFonts w:hint="eastAsia" w:ascii="ＭＳ ゴシック" w:hAnsi="ＭＳ ゴシック" w:eastAsia="ＭＳ ゴシック"/>
        </w:rPr>
        <w:t>(</w:t>
      </w:r>
      <w:r>
        <w:rPr>
          <w:rFonts w:hint="default" w:ascii="ＭＳ ゴシック" w:hAnsi="ＭＳ ゴシック" w:eastAsia="ＭＳ ゴシック"/>
        </w:rPr>
        <w:t>2020</w:t>
      </w:r>
      <w:r>
        <w:rPr>
          <w:rFonts w:hint="default" w:ascii="ＭＳ ゴシック" w:hAnsi="ＭＳ ゴシック" w:eastAsia="ＭＳ ゴシック"/>
        </w:rPr>
        <w:t>年</w:t>
      </w:r>
      <w:r>
        <w:rPr>
          <w:rFonts w:hint="eastAsia" w:ascii="ＭＳ ゴシック" w:hAnsi="ＭＳ ゴシック" w:eastAsia="ＭＳ ゴシック"/>
        </w:rPr>
        <w:t>)</w:t>
      </w:r>
      <w:r>
        <w:rPr>
          <w:rFonts w:hint="eastAsia" w:ascii="ＭＳ ゴシック" w:hAnsi="ＭＳ ゴシック" w:eastAsia="ＭＳ ゴシック"/>
        </w:rPr>
        <w:t>９</w:t>
      </w:r>
      <w:r>
        <w:rPr>
          <w:rFonts w:hint="default" w:ascii="ＭＳ ゴシック" w:hAnsi="ＭＳ ゴシック" w:eastAsia="ＭＳ ゴシック"/>
        </w:rPr>
        <w:t>月末）</w:t>
      </w:r>
    </w:p>
    <w:p>
      <w:pPr>
        <w:pStyle w:val="0"/>
        <w:rPr>
          <w:rFonts w:hint="default"/>
        </w:rPr>
      </w:pPr>
    </w:p>
    <w:p>
      <w:pPr>
        <w:pStyle w:val="0"/>
        <w:ind w:left="240" w:leftChars="10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7</w:t>
      </w:r>
      <w:r>
        <w:rPr>
          <w:rFonts w:hint="default" w:ascii="ＭＳ ゴシック" w:hAnsi="ＭＳ ゴシック" w:eastAsia="ＭＳ ゴシック"/>
          <w:sz w:val="21"/>
        </w:rPr>
        <w:t>7</w:t>
      </w:r>
      <w:r>
        <w:rPr>
          <w:rFonts w:hint="default" w:ascii="ＭＳ ゴシック" w:hAnsi="ＭＳ ゴシック" w:eastAsia="ＭＳ ゴシック"/>
          <w:sz w:val="21"/>
        </w:rPr>
        <w:t>：</w:t>
      </w:r>
      <w:r>
        <w:rPr>
          <w:rFonts w:hint="eastAsia" w:ascii="ＭＳ ゴシック" w:hAnsi="ＭＳ ゴシック" w:eastAsia="ＭＳ ゴシック"/>
          <w:sz w:val="21"/>
        </w:rPr>
        <w:t>総合事業の訪問型サービス</w:t>
      </w:r>
    </w:p>
    <w:tbl>
      <w:tblPr>
        <w:tblStyle w:val="59"/>
        <w:tblW w:w="9214" w:type="dxa"/>
        <w:tblInd w:w="279" w:type="dxa"/>
        <w:tblLayout w:type="fixed"/>
        <w:tblLook w:firstRow="1" w:lastRow="0" w:firstColumn="1" w:lastColumn="0" w:noHBand="0" w:noVBand="1" w:val="04A0"/>
      </w:tblPr>
      <w:tblGrid>
        <w:gridCol w:w="425"/>
        <w:gridCol w:w="1574"/>
        <w:gridCol w:w="2363"/>
        <w:gridCol w:w="2363"/>
        <w:gridCol w:w="2489"/>
      </w:tblGrid>
      <w:tr>
        <w:trPr>
          <w:trHeight w:val="360" w:hRule="atLeast"/>
        </w:trPr>
        <w:tc>
          <w:tcPr>
            <w:tcW w:w="1999" w:type="dxa"/>
            <w:gridSpan w:val="2"/>
            <w:vMerge w:val="restart"/>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7215" w:type="dxa"/>
            <w:gridSpan w:val="3"/>
            <w:shd w:val="clear" w:color="auto" w:themeFill="accent1" w:themeFillTint="FF" w:themeFillShade="FF"/>
            <w:vAlign w:val="center"/>
          </w:tcPr>
          <w:p>
            <w:pPr>
              <w:pStyle w:val="0"/>
              <w:spacing w:line="220" w:lineRule="exact"/>
              <w:jc w:val="center"/>
              <w:rPr>
                <w:rFonts w:hint="default"/>
                <w:color w:val="FFFFFF" w:themeColor="background1"/>
              </w:rPr>
            </w:pPr>
            <w:r>
              <w:rPr>
                <w:rFonts w:hint="eastAsia" w:ascii="ＭＳ ゴシック" w:hAnsi="ＭＳ ゴシック" w:eastAsia="ＭＳ ゴシック"/>
                <w:color w:val="FFFFFF" w:themeColor="background1"/>
              </w:rPr>
              <w:t>総合事業</w:t>
            </w:r>
          </w:p>
        </w:tc>
      </w:tr>
      <w:tr>
        <w:trPr/>
        <w:tc>
          <w:tcPr>
            <w:tcW w:w="1999" w:type="dxa"/>
            <w:gridSpan w:val="2"/>
            <w:vMerge w:val="continue"/>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2363"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箕面市訪問介護相当</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（専門型）</w:t>
            </w:r>
          </w:p>
        </w:tc>
        <w:tc>
          <w:tcPr>
            <w:tcW w:w="2363"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箕面市訪問型</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サービスＡ</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（緩和型）</w:t>
            </w:r>
          </w:p>
        </w:tc>
        <w:tc>
          <w:tcPr>
            <w:tcW w:w="2489"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箕面市訪問型</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サービスＣ</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（短期集中型）</w:t>
            </w:r>
          </w:p>
        </w:tc>
      </w:tr>
      <w:tr>
        <w:trPr>
          <w:trHeight w:val="360" w:hRule="atLeast"/>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１</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利用者の状態像</w:t>
            </w:r>
          </w:p>
        </w:tc>
        <w:tc>
          <w:tcPr>
            <w:tcW w:w="7215" w:type="dxa"/>
            <w:gridSpan w:val="3"/>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要支援１・２、事業対象者</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２</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サービス内容</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入浴介助、通院介助など</w:t>
            </w:r>
            <w:r>
              <w:rPr>
                <w:rFonts w:hint="eastAsia"/>
              </w:rPr>
              <w:br w:type="textWrapping" w:clear="none"/>
            </w:r>
            <w:r>
              <w:rPr>
                <w:rFonts w:hint="eastAsia" w:ascii="ＭＳ 明朝" w:hAnsi="ＭＳ 明朝" w:eastAsia="ＭＳ 明朝"/>
                <w:sz w:val="18"/>
              </w:rPr>
              <w:t>（訪問介護員による身体介護及び生活援助）</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掃除、買い物など</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（生活支援サポーター等による生活援助）</w:t>
            </w:r>
          </w:p>
        </w:tc>
        <w:tc>
          <w:tcPr>
            <w:tcW w:w="2489"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訪問指導</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３</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サービス提供者</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箕面市訪問介護相当</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サービス指定事業者</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箕面市訪問型サービス</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Ａ指定事業者</w:t>
            </w:r>
          </w:p>
        </w:tc>
        <w:tc>
          <w:tcPr>
            <w:tcW w:w="2489"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市医療職</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４</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目標期間の設定</w:t>
            </w:r>
          </w:p>
        </w:tc>
        <w:tc>
          <w:tcPr>
            <w:tcW w:w="2363" w:type="dxa"/>
            <w:vAlign w:val="center"/>
          </w:tcPr>
          <w:p>
            <w:pPr>
              <w:pStyle w:val="0"/>
              <w:spacing w:line="220" w:lineRule="exact"/>
              <w:rPr>
                <w:rFonts w:hint="default"/>
              </w:rPr>
            </w:pPr>
            <w:r>
              <w:rPr>
                <w:rFonts w:hint="eastAsia" w:ascii="ＭＳ 明朝" w:hAnsi="ＭＳ 明朝" w:eastAsia="ＭＳ 明朝"/>
                <w:sz w:val="18"/>
              </w:rPr>
              <w:t>設定なし（サービス提供期間は無期限）</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設定あり（３～６か月）</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ただし、延長可</w:t>
            </w:r>
          </w:p>
        </w:tc>
        <w:tc>
          <w:tcPr>
            <w:tcW w:w="2489"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設定あり</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（３～６か月）</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５</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単価</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1,172</w:t>
            </w:r>
            <w:r>
              <w:rPr>
                <w:rFonts w:hint="eastAsia" w:ascii="ＭＳ 明朝" w:hAnsi="ＭＳ 明朝" w:eastAsia="ＭＳ 明朝"/>
                <w:sz w:val="18"/>
              </w:rPr>
              <w:t>単位（週１回）</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2,342</w:t>
            </w:r>
            <w:r>
              <w:rPr>
                <w:rFonts w:hint="eastAsia" w:ascii="ＭＳ 明朝" w:hAnsi="ＭＳ 明朝" w:eastAsia="ＭＳ 明朝"/>
                <w:sz w:val="18"/>
              </w:rPr>
              <w:t>単位（週２回）</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（月包括単位）</w:t>
            </w:r>
          </w:p>
        </w:tc>
        <w:tc>
          <w:tcPr>
            <w:tcW w:w="2363"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224</w:t>
            </w:r>
            <w:r>
              <w:rPr>
                <w:rFonts w:hint="eastAsia" w:ascii="ＭＳ 明朝" w:hAnsi="ＭＳ 明朝" w:eastAsia="ＭＳ 明朝"/>
                <w:sz w:val="18"/>
              </w:rPr>
              <w:t>単位</w:t>
            </w:r>
            <w:r>
              <w:rPr>
                <w:rFonts w:hint="eastAsia" w:ascii="ＭＳ 明朝" w:hAnsi="ＭＳ 明朝" w:eastAsia="ＭＳ 明朝"/>
                <w:sz w:val="18"/>
              </w:rPr>
              <w:t>/</w:t>
            </w:r>
            <w:r>
              <w:rPr>
                <w:rFonts w:hint="eastAsia" w:ascii="ＭＳ 明朝" w:hAnsi="ＭＳ 明朝" w:eastAsia="ＭＳ 明朝"/>
                <w:sz w:val="18"/>
              </w:rPr>
              <w:t>回</w:t>
            </w:r>
          </w:p>
        </w:tc>
        <w:tc>
          <w:tcPr>
            <w:tcW w:w="2489"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なし</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６</w:t>
            </w:r>
          </w:p>
        </w:tc>
        <w:tc>
          <w:tcPr>
            <w:tcW w:w="1574"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利用者負担</w:t>
            </w:r>
          </w:p>
        </w:tc>
        <w:tc>
          <w:tcPr>
            <w:tcW w:w="7215" w:type="dxa"/>
            <w:gridSpan w:val="3"/>
            <w:vAlign w:val="center"/>
          </w:tcPr>
          <w:p>
            <w:pPr>
              <w:pStyle w:val="0"/>
              <w:jc w:val="center"/>
              <w:rPr>
                <w:rFonts w:hint="default"/>
              </w:rPr>
            </w:pPr>
            <w:r>
              <w:rPr>
                <w:rFonts w:hint="eastAsia" w:ascii="ＭＳ 明朝" w:hAnsi="ＭＳ 明朝" w:eastAsia="ＭＳ 明朝"/>
                <w:sz w:val="18"/>
              </w:rPr>
              <w:t>介護給付の利用者負担額と同じ</w:t>
            </w:r>
          </w:p>
        </w:tc>
      </w:tr>
    </w:tbl>
    <w:p>
      <w:pPr>
        <w:pStyle w:val="0"/>
        <w:rPr>
          <w:rFonts w:hint="default"/>
          <w:color w:val="FF0000"/>
        </w:rPr>
      </w:pPr>
    </w:p>
    <w:p>
      <w:pPr>
        <w:pStyle w:val="0"/>
        <w:ind w:left="240" w:leftChars="100"/>
        <w:jc w:val="center"/>
        <w:rPr>
          <w:rFonts w:hint="default"/>
          <w:color w:val="FF0000"/>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7</w:t>
      </w:r>
      <w:r>
        <w:rPr>
          <w:rFonts w:hint="default" w:ascii="ＭＳ ゴシック" w:hAnsi="ＭＳ ゴシック" w:eastAsia="ＭＳ ゴシック"/>
          <w:color w:val="000000" w:themeColor="text1"/>
          <w:sz w:val="21"/>
        </w:rPr>
        <w:t>8</w:t>
      </w:r>
      <w:r>
        <w:rPr>
          <w:rFonts w:hint="default"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総合事業の通所型サービス</w:t>
      </w:r>
    </w:p>
    <w:tbl>
      <w:tblPr>
        <w:tblStyle w:val="59"/>
        <w:tblW w:w="9214" w:type="dxa"/>
        <w:tblInd w:w="279" w:type="dxa"/>
        <w:tblLayout w:type="fixed"/>
        <w:tblLook w:firstRow="1" w:lastRow="0" w:firstColumn="1" w:lastColumn="0" w:noHBand="0" w:noVBand="1" w:val="04A0"/>
      </w:tblPr>
      <w:tblGrid>
        <w:gridCol w:w="425"/>
        <w:gridCol w:w="1551"/>
        <w:gridCol w:w="2340"/>
        <w:gridCol w:w="2728"/>
        <w:gridCol w:w="2170"/>
      </w:tblGrid>
      <w:tr>
        <w:trPr>
          <w:trHeight w:val="360" w:hRule="atLeast"/>
        </w:trPr>
        <w:tc>
          <w:tcPr>
            <w:tcW w:w="1976" w:type="dxa"/>
            <w:gridSpan w:val="2"/>
            <w:vMerge w:val="restart"/>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7238" w:type="dxa"/>
            <w:gridSpan w:val="3"/>
            <w:shd w:val="clear" w:color="auto" w:themeFill="accent1" w:themeFillTint="FF" w:themeFillShade="FF"/>
            <w:vAlign w:val="center"/>
          </w:tcPr>
          <w:p>
            <w:pPr>
              <w:pStyle w:val="0"/>
              <w:spacing w:line="220" w:lineRule="exact"/>
              <w:jc w:val="center"/>
              <w:rPr>
                <w:rFonts w:hint="default"/>
                <w:color w:val="FFFFFF" w:themeColor="background1"/>
              </w:rPr>
            </w:pPr>
            <w:r>
              <w:rPr>
                <w:rFonts w:hint="eastAsia" w:ascii="ＭＳ ゴシック" w:hAnsi="ＭＳ ゴシック" w:eastAsia="ＭＳ ゴシック"/>
                <w:color w:val="FFFFFF" w:themeColor="background1"/>
              </w:rPr>
              <w:t>総合事業</w:t>
            </w:r>
          </w:p>
        </w:tc>
      </w:tr>
      <w:tr>
        <w:trPr/>
        <w:tc>
          <w:tcPr>
            <w:tcW w:w="1976" w:type="dxa"/>
            <w:gridSpan w:val="2"/>
            <w:vMerge w:val="continue"/>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2340"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箕面市通所介護相当</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（専門型）</w:t>
            </w:r>
          </w:p>
        </w:tc>
        <w:tc>
          <w:tcPr>
            <w:tcW w:w="2728"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箕面市通所型</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サービスＡ</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（緩和型）</w:t>
            </w:r>
          </w:p>
        </w:tc>
        <w:tc>
          <w:tcPr>
            <w:tcW w:w="2170" w:type="dxa"/>
            <w:shd w:val="clear" w:color="auto" w:themeFill="accent5" w:themeFillTint="33" w:themeFillShade="FF"/>
            <w:vAlign w:val="top"/>
          </w:tcPr>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箕面市通所型</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サービスＣ</w:t>
            </w:r>
          </w:p>
          <w:p>
            <w:pPr>
              <w:pStyle w:val="0"/>
              <w:spacing w:line="22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（短期集中型）</w:t>
            </w:r>
          </w:p>
        </w:tc>
      </w:tr>
      <w:tr>
        <w:trPr>
          <w:trHeight w:val="360" w:hRule="atLeast"/>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１</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利用者の状態像</w:t>
            </w:r>
          </w:p>
        </w:tc>
        <w:tc>
          <w:tcPr>
            <w:tcW w:w="7238" w:type="dxa"/>
            <w:gridSpan w:val="3"/>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要支援１・２、事業対象者</w:t>
            </w:r>
          </w:p>
        </w:tc>
      </w:tr>
      <w:tr>
        <w:trPr>
          <w:trHeight w:val="580" w:hRule="atLeast"/>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２</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サービス内容</w:t>
            </w:r>
          </w:p>
        </w:tc>
        <w:tc>
          <w:tcPr>
            <w:tcW w:w="5068" w:type="dxa"/>
            <w:gridSpan w:val="2"/>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通所介護事業者ごとに作成する</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介護予防のためのプログラム</w:t>
            </w:r>
          </w:p>
        </w:tc>
        <w:tc>
          <w:tcPr>
            <w:tcW w:w="217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利用者ごとに作成</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する個別機能訓練の</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ためのプログラム</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３</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サービス提供者</w:t>
            </w:r>
          </w:p>
        </w:tc>
        <w:tc>
          <w:tcPr>
            <w:tcW w:w="234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箕面市通所介護相当</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サービス指定事業者</w:t>
            </w:r>
          </w:p>
        </w:tc>
        <w:tc>
          <w:tcPr>
            <w:tcW w:w="2728"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箕面市通所型サービス</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Ａ指定事業者</w:t>
            </w:r>
          </w:p>
        </w:tc>
        <w:tc>
          <w:tcPr>
            <w:tcW w:w="217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箕面市通所型サービス</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Ｃ指定事業者</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４</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目標期間の設定</w:t>
            </w:r>
          </w:p>
        </w:tc>
        <w:tc>
          <w:tcPr>
            <w:tcW w:w="2340" w:type="dxa"/>
            <w:vAlign w:val="center"/>
          </w:tcPr>
          <w:p>
            <w:pPr>
              <w:pStyle w:val="0"/>
              <w:spacing w:line="220" w:lineRule="exact"/>
              <w:rPr>
                <w:rFonts w:hint="default"/>
              </w:rPr>
            </w:pPr>
            <w:r>
              <w:rPr>
                <w:rFonts w:hint="eastAsia" w:ascii="ＭＳ 明朝" w:hAnsi="ＭＳ 明朝" w:eastAsia="ＭＳ 明朝"/>
                <w:sz w:val="18"/>
              </w:rPr>
              <w:t>設定なし（サービス提供期間は無期限）</w:t>
            </w:r>
          </w:p>
        </w:tc>
        <w:tc>
          <w:tcPr>
            <w:tcW w:w="2728"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設定あり（３～６か月）</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ただし、延長可</w:t>
            </w:r>
          </w:p>
        </w:tc>
        <w:tc>
          <w:tcPr>
            <w:tcW w:w="217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設定あり</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（３～６か月）</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５</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単価</w:t>
            </w:r>
          </w:p>
        </w:tc>
        <w:tc>
          <w:tcPr>
            <w:tcW w:w="234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1,655</w:t>
            </w:r>
            <w:r>
              <w:rPr>
                <w:rFonts w:hint="eastAsia" w:ascii="ＭＳ 明朝" w:hAnsi="ＭＳ 明朝" w:eastAsia="ＭＳ 明朝"/>
                <w:sz w:val="18"/>
              </w:rPr>
              <w:t>単位（週１回）</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3,393</w:t>
            </w:r>
            <w:r>
              <w:rPr>
                <w:rFonts w:hint="eastAsia" w:ascii="ＭＳ 明朝" w:hAnsi="ＭＳ 明朝" w:eastAsia="ＭＳ 明朝"/>
                <w:sz w:val="18"/>
              </w:rPr>
              <w:t>単位（週２回）</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（月包括単位）</w:t>
            </w:r>
          </w:p>
        </w:tc>
        <w:tc>
          <w:tcPr>
            <w:tcW w:w="2728"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356</w:t>
            </w:r>
            <w:r>
              <w:rPr>
                <w:rFonts w:hint="eastAsia" w:ascii="ＭＳ 明朝" w:hAnsi="ＭＳ 明朝" w:eastAsia="ＭＳ 明朝"/>
                <w:sz w:val="18"/>
              </w:rPr>
              <w:t>単位／回（全日型送迎有）</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315</w:t>
            </w:r>
            <w:r>
              <w:rPr>
                <w:rFonts w:hint="eastAsia" w:ascii="ＭＳ 明朝" w:hAnsi="ＭＳ 明朝" w:eastAsia="ＭＳ 明朝"/>
                <w:sz w:val="18"/>
              </w:rPr>
              <w:t>単位／回（半日型送迎有）</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310</w:t>
            </w:r>
            <w:r>
              <w:rPr>
                <w:rFonts w:hint="eastAsia" w:ascii="ＭＳ 明朝" w:hAnsi="ＭＳ 明朝" w:eastAsia="ＭＳ 明朝"/>
                <w:sz w:val="18"/>
              </w:rPr>
              <w:t>単位／回（全日型送迎無）</w:t>
            </w:r>
          </w:p>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rPr>
              <w:t>269</w:t>
            </w:r>
            <w:r>
              <w:rPr>
                <w:rFonts w:hint="eastAsia" w:ascii="ＭＳ 明朝" w:hAnsi="ＭＳ 明朝" w:eastAsia="ＭＳ 明朝"/>
                <w:sz w:val="18"/>
              </w:rPr>
              <w:t>単位／回（半日型送迎無）</w:t>
            </w:r>
          </w:p>
        </w:tc>
        <w:tc>
          <w:tcPr>
            <w:tcW w:w="2170" w:type="dxa"/>
            <w:vAlign w:val="center"/>
          </w:tcPr>
          <w:p>
            <w:pPr>
              <w:pStyle w:val="0"/>
              <w:spacing w:line="220" w:lineRule="exact"/>
              <w:jc w:val="center"/>
              <w:rPr>
                <w:rFonts w:hint="default" w:ascii="ＭＳ 明朝" w:hAnsi="ＭＳ 明朝" w:eastAsia="ＭＳ 明朝"/>
                <w:sz w:val="18"/>
              </w:rPr>
            </w:pPr>
            <w:r>
              <w:rPr>
                <w:rFonts w:hint="eastAsia" w:ascii="ＭＳ 明朝" w:hAnsi="ＭＳ 明朝" w:eastAsia="ＭＳ 明朝"/>
                <w:sz w:val="18"/>
                <w:highlight w:val="none"/>
              </w:rPr>
              <w:t>381</w:t>
            </w:r>
            <w:r>
              <w:rPr>
                <w:rFonts w:hint="eastAsia" w:ascii="ＭＳ 明朝" w:hAnsi="ＭＳ 明朝" w:eastAsia="ＭＳ 明朝"/>
                <w:sz w:val="18"/>
                <w:highlight w:val="none"/>
              </w:rPr>
              <w:t>単位</w:t>
            </w:r>
            <w:r>
              <w:rPr>
                <w:rFonts w:hint="eastAsia" w:ascii="ＭＳ 明朝" w:hAnsi="ＭＳ 明朝" w:eastAsia="ＭＳ 明朝"/>
                <w:sz w:val="18"/>
              </w:rPr>
              <w:t>／回</w:t>
            </w:r>
          </w:p>
        </w:tc>
      </w:tr>
      <w:tr>
        <w:trPr/>
        <w:tc>
          <w:tcPr>
            <w:tcW w:w="425"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６</w:t>
            </w:r>
          </w:p>
        </w:tc>
        <w:tc>
          <w:tcPr>
            <w:tcW w:w="1551" w:type="dxa"/>
            <w:shd w:val="clear" w:color="auto" w:themeFill="accent5" w:themeFillTint="66" w:themeFillShade="FF"/>
            <w:vAlign w:val="center"/>
          </w:tcPr>
          <w:p>
            <w:pPr>
              <w:pStyle w:val="0"/>
              <w:spacing w:line="22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利用者負担</w:t>
            </w:r>
          </w:p>
        </w:tc>
        <w:tc>
          <w:tcPr>
            <w:tcW w:w="7238" w:type="dxa"/>
            <w:gridSpan w:val="3"/>
            <w:vAlign w:val="center"/>
          </w:tcPr>
          <w:p>
            <w:pPr>
              <w:pStyle w:val="0"/>
              <w:jc w:val="center"/>
              <w:rPr>
                <w:rFonts w:hint="default"/>
              </w:rPr>
            </w:pPr>
            <w:r>
              <w:rPr>
                <w:rFonts w:hint="eastAsia" w:ascii="ＭＳ 明朝" w:hAnsi="ＭＳ 明朝" w:eastAsia="ＭＳ 明朝"/>
                <w:sz w:val="18"/>
              </w:rPr>
              <w:t>介護給付の利用者負担額と同じ</w:t>
            </w:r>
          </w:p>
        </w:tc>
      </w:tr>
    </w:tbl>
    <w:p>
      <w:pPr>
        <w:pStyle w:val="0"/>
        <w:rPr>
          <w:rFonts w:hint="default" w:ascii="ＭＳ ゴシック" w:hAnsi="ＭＳ ゴシック" w:eastAsia="ＭＳ ゴシック"/>
          <w:color w:val="0070C0"/>
          <w:sz w:val="28"/>
        </w:rPr>
      </w:pPr>
    </w:p>
    <w:p>
      <w:pPr>
        <w:pStyle w:val="6"/>
        <w:ind w:left="0" w:leftChars="0" w:firstLine="480" w:firstLineChars="200"/>
        <w:rPr>
          <w:rFonts w:hint="default" w:ascii="ＭＳ ゴシック" w:hAnsi="ＭＳ ゴシック" w:eastAsia="ＭＳ ゴシック"/>
          <w:b w:val="0"/>
        </w:rPr>
      </w:pPr>
      <w:r>
        <w:rPr>
          <w:rFonts w:hint="default" w:ascii="ＭＳ ゴシック" w:hAnsi="ＭＳ ゴシック" w:eastAsia="ＭＳ ゴシック"/>
          <w:b w:val="0"/>
        </w:rPr>
        <w:t>d</w:t>
      </w:r>
      <w:r>
        <w:rPr>
          <w:rFonts w:hint="eastAsia" w:ascii="ＭＳ ゴシック" w:hAnsi="ＭＳ ゴシック" w:eastAsia="ＭＳ ゴシック"/>
          <w:b w:val="0"/>
        </w:rPr>
        <w:t>）生活支援コーディネート機能の充実と日常生活支援の推進</w:t>
      </w: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①生活支援コーディネート機能</w:t>
      </w:r>
    </w:p>
    <w:p>
      <w:pPr>
        <w:pStyle w:val="0"/>
        <w:ind w:left="960" w:leftChars="300" w:hanging="240" w:hangingChars="100"/>
        <w:jc w:val="both"/>
        <w:rPr>
          <w:rFonts w:hint="default"/>
          <w:strike w:val="1"/>
        </w:rPr>
      </w:pPr>
      <w:r>
        <w:rPr>
          <w:rFonts w:hint="eastAsia"/>
        </w:rPr>
        <w:t>○　本市では、平成</w:t>
      </w:r>
      <w:r>
        <w:rPr>
          <w:rFonts w:hint="eastAsia"/>
        </w:rPr>
        <w:t>30</w:t>
      </w:r>
      <w:r>
        <w:rPr>
          <w:rFonts w:hint="eastAsia"/>
        </w:rPr>
        <w:t>年</w:t>
      </w:r>
      <w:r>
        <w:rPr>
          <w:rFonts w:hint="eastAsia"/>
        </w:rPr>
        <w:t>(2018</w:t>
      </w:r>
      <w:r>
        <w:rPr>
          <w:rFonts w:hint="eastAsia"/>
        </w:rPr>
        <w:t>年</w:t>
      </w:r>
      <w:r>
        <w:rPr>
          <w:rFonts w:hint="eastAsia"/>
        </w:rPr>
        <w:t>)10</w:t>
      </w:r>
      <w:r>
        <w:rPr>
          <w:rFonts w:hint="eastAsia"/>
        </w:rPr>
        <w:t>月より「住民主体、住民が主役の地域の支え合い体制を構築すること」を目的に、「顔の見える総合相談・支援モデル事業」を実施し、平成</w:t>
      </w:r>
      <w:r>
        <w:rPr>
          <w:rFonts w:hint="eastAsia"/>
        </w:rPr>
        <w:t>31</w:t>
      </w:r>
      <w:r>
        <w:rPr>
          <w:rFonts w:hint="eastAsia"/>
        </w:rPr>
        <w:t>年</w:t>
      </w:r>
      <w:r>
        <w:rPr>
          <w:rFonts w:hint="eastAsia"/>
        </w:rPr>
        <w:t>(2019</w:t>
      </w:r>
      <w:r>
        <w:rPr>
          <w:rFonts w:hint="eastAsia"/>
        </w:rPr>
        <w:t>年</w:t>
      </w:r>
      <w:r>
        <w:rPr>
          <w:rFonts w:hint="eastAsia"/>
        </w:rPr>
        <w:t>)</w:t>
      </w:r>
      <w:r>
        <w:rPr>
          <w:rFonts w:hint="eastAsia"/>
        </w:rPr>
        <w:t>４月に６つのモデル校区に「ささえあいステーション」を設置しました。</w:t>
      </w:r>
    </w:p>
    <w:p>
      <w:pPr>
        <w:pStyle w:val="0"/>
        <w:ind w:left="960" w:leftChars="300" w:hanging="240" w:hangingChars="100"/>
        <w:jc w:val="both"/>
        <w:rPr>
          <w:rFonts w:hint="default"/>
        </w:rPr>
      </w:pPr>
      <w:r>
        <w:rPr>
          <w:rFonts w:hint="eastAsia"/>
        </w:rPr>
        <w:t>○　市全域レベルを担当する生活支援コーディネーターは、</w:t>
      </w:r>
      <w:r>
        <w:rPr>
          <w:rFonts w:hint="eastAsia"/>
          <w:spacing w:val="2"/>
        </w:rPr>
        <w:t>市の基幹型地域包括支援センター職員が担い</w:t>
      </w:r>
      <w:r>
        <w:rPr>
          <w:rFonts w:hint="eastAsia"/>
        </w:rPr>
        <w:t>ます。日常生活圏域レベルのコーディネーターは、ささえあいステーション職員（箕面市社会福祉協議会委託）が担い、①地域アセスメントの実施、②多職種・多機関・地域との連携強化・充実、③地域連携による福祉のまちづくり、④総合相談業務などを実施しました。</w:t>
      </w:r>
    </w:p>
    <w:p>
      <w:pPr>
        <w:pStyle w:val="0"/>
        <w:ind w:left="960" w:leftChars="300" w:hanging="240" w:hangingChars="100"/>
        <w:jc w:val="both"/>
        <w:rPr>
          <w:rFonts w:hint="default"/>
        </w:rPr>
      </w:pPr>
      <w:r>
        <w:rPr>
          <w:rFonts w:hint="eastAsia"/>
        </w:rPr>
        <w:t>○　また、地域住民を含め地域の生活課題解決の担い手となり得る団体等が参画して地域の課題やニーズを共有し、解決策を検討する場として、協議体を設置しています。市全域レベルを担当する</w:t>
      </w:r>
      <w:r>
        <w:rPr>
          <w:rFonts w:hint="eastAsia"/>
          <w:spacing w:val="2"/>
        </w:rPr>
        <w:t>協議体は、庁内の関係部署をはじめ地域包括支援センターや社会福祉協議会、シルバー人材センターなどの地域の関係者で構成され、地域づくりの目標や方針等を共有しました。日常生活圏域レベルを担当する協議体は、</w:t>
      </w:r>
      <w:r>
        <w:rPr>
          <w:rFonts w:hint="eastAsia"/>
        </w:rPr>
        <w:t>ささえあいステーション職員が中心となり、小学校区ごとに</w:t>
      </w:r>
      <w:r>
        <w:rPr>
          <w:rFonts w:hint="eastAsia"/>
          <w:spacing w:val="2"/>
        </w:rPr>
        <w:t>地域課題について</w:t>
      </w:r>
      <w:r>
        <w:rPr>
          <w:rFonts w:hint="eastAsia"/>
        </w:rPr>
        <w:t>地域の関係者と</w:t>
      </w:r>
      <w:r>
        <w:rPr>
          <w:rFonts w:hint="eastAsia"/>
          <w:spacing w:val="2"/>
        </w:rPr>
        <w:t>話し合い、解決のための取組を検討しました。</w:t>
      </w:r>
    </w:p>
    <w:p>
      <w:pPr>
        <w:pStyle w:val="0"/>
        <w:ind w:left="960" w:leftChars="100" w:hanging="720" w:hangingChars="300"/>
        <w:jc w:val="both"/>
        <w:rPr>
          <w:rFonts w:hint="default"/>
        </w:rPr>
      </w:pPr>
      <w:r>
        <w:rPr>
          <w:rFonts w:hint="eastAsia"/>
        </w:rPr>
        <w:t>　　○　総合事業の訪問型サービスの担い手を増やすため、身体介護を必要としないかたの生活援助を行う生活支援サポーター養成研修の受講者に対する補助を実施しました。</w:t>
      </w:r>
    </w:p>
    <w:p>
      <w:pPr>
        <w:pStyle w:val="0"/>
        <w:ind w:left="480" w:hanging="480" w:hangingChars="20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②日常生活支援の推進</w:t>
      </w:r>
    </w:p>
    <w:p>
      <w:pPr>
        <w:pStyle w:val="0"/>
        <w:ind w:left="960" w:leftChars="300" w:hanging="240" w:hangingChars="100"/>
        <w:jc w:val="both"/>
        <w:rPr>
          <w:rFonts w:hint="default"/>
        </w:rPr>
      </w:pPr>
      <w:r>
        <w:rPr>
          <w:rFonts w:hint="eastAsia"/>
        </w:rPr>
        <w:t>○　現在、本市では、市が実施する</w:t>
      </w:r>
      <w:r>
        <w:rPr>
          <w:rFonts w:hint="default"/>
        </w:rPr>
        <w:t>生活支援サービス</w:t>
      </w:r>
      <w:r>
        <w:rPr>
          <w:rFonts w:hint="eastAsia"/>
        </w:rPr>
        <w:t>や</w:t>
      </w:r>
      <w:r>
        <w:rPr>
          <w:rFonts w:hint="default"/>
        </w:rPr>
        <w:t>、社会福祉協議会による家事援助や見守り支援、シルバー人材センターによる家事援助、民生委員・児童委員やボランティア等による見守り支援、民間事業者による家事援助や配食サービスなど、様々な機関により高齢者の日常生活支援が行われ</w:t>
      </w:r>
      <w:r>
        <w:rPr>
          <w:rFonts w:hint="eastAsia"/>
        </w:rPr>
        <w:t>ました</w:t>
      </w:r>
      <w:r>
        <w:rPr>
          <w:rFonts w:hint="default"/>
        </w:rPr>
        <w:t>。</w:t>
      </w:r>
    </w:p>
    <w:p>
      <w:pPr>
        <w:pStyle w:val="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③地域支え合い体制の整備</w:t>
      </w:r>
    </w:p>
    <w:p>
      <w:pPr>
        <w:pStyle w:val="0"/>
        <w:ind w:left="960" w:leftChars="300" w:hanging="240" w:hangingChars="100"/>
        <w:jc w:val="both"/>
        <w:rPr>
          <w:rFonts w:hint="default"/>
        </w:rPr>
      </w:pPr>
      <w:r>
        <w:rPr>
          <w:rFonts w:hint="eastAsia"/>
        </w:rPr>
        <w:t>○　現在、地域における福祉活動として、社会福祉協議会が地区福祉会を通じて進めている小地域ネットワーク活動を始め、民生委員・児童委員、自治会、シニアクラブ、ボランティアやＮＰＯなど、多様な主体による活動が行われています。本市では、これらの活動を継続していくための環境づくりを進め、地域で支え合い・助け合いの推進を図るため、ささえあいステーションを設置し、住民同士の支え合い体制の構築や地域の相互扶助（ご近所福祉）の「住民意識の醸成」に取り組みました。</w:t>
      </w:r>
    </w:p>
    <w:p>
      <w:pPr>
        <w:pStyle w:val="0"/>
        <w:ind w:left="960" w:leftChars="300" w:hanging="240" w:hangingChars="100"/>
        <w:rPr>
          <w:rFonts w:hint="default"/>
        </w:rPr>
      </w:pPr>
    </w:p>
    <w:p>
      <w:pPr>
        <w:pStyle w:val="0"/>
        <w:ind w:left="960" w:leftChars="300" w:hanging="240" w:hangingChars="100"/>
        <w:rPr>
          <w:rFonts w:hint="default"/>
        </w:rPr>
      </w:pPr>
    </w:p>
    <w:p>
      <w:pPr>
        <w:pStyle w:val="6"/>
        <w:ind w:left="0" w:leftChars="0" w:firstLine="480" w:firstLineChars="200"/>
        <w:rPr>
          <w:rFonts w:hint="default" w:ascii="ＭＳ ゴシック" w:hAnsi="ＭＳ ゴシック" w:eastAsia="ＭＳ ゴシック"/>
          <w:b w:val="0"/>
        </w:rPr>
      </w:pPr>
      <w:r>
        <w:rPr>
          <w:rFonts w:hint="default" w:ascii="ＭＳ ゴシック" w:hAnsi="ＭＳ ゴシック" w:eastAsia="ＭＳ ゴシック"/>
          <w:b w:val="0"/>
        </w:rPr>
        <w:t>e</w:t>
      </w:r>
      <w:r>
        <w:rPr>
          <w:rFonts w:hint="eastAsia" w:ascii="ＭＳ ゴシック" w:hAnsi="ＭＳ ゴシック" w:eastAsia="ＭＳ ゴシック"/>
          <w:b w:val="0"/>
        </w:rPr>
        <w:t>）在宅医療と介護の連携強化</w:t>
      </w: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①在宅医療・介護連携推進事業の推進</w:t>
      </w:r>
    </w:p>
    <w:p>
      <w:pPr>
        <w:pStyle w:val="0"/>
        <w:ind w:left="960" w:leftChars="200" w:hanging="480" w:hangingChars="200"/>
        <w:jc w:val="both"/>
        <w:rPr>
          <w:rFonts w:hint="default"/>
          <w:color w:val="0070C0"/>
        </w:rPr>
      </w:pPr>
      <w:bookmarkStart w:id="44" w:name="_Toc405397072"/>
      <w:bookmarkEnd w:id="44"/>
      <w:bookmarkStart w:id="45" w:name="_Toc405397073"/>
      <w:bookmarkEnd w:id="45"/>
      <w:bookmarkStart w:id="46" w:name="_Toc405397076"/>
      <w:bookmarkEnd w:id="46"/>
      <w:bookmarkStart w:id="47" w:name="_Toc405397082"/>
      <w:bookmarkEnd w:id="47"/>
      <w:r>
        <w:rPr>
          <w:rFonts w:hint="eastAsia"/>
        </w:rPr>
        <w:t>　○　医療と介護の両方を必要とする状態の高齢者が住み慣れた地域で自分らしい暮らしを続けることができるよう、医療機関と介護サービス事業者などの関係者の連携をめざして、在宅医療・介護連携推進事業に取り組みました。</w:t>
      </w:r>
    </w:p>
    <w:p>
      <w:pPr>
        <w:pStyle w:val="0"/>
        <w:ind w:left="480" w:leftChars="100" w:hanging="240" w:hangingChars="100"/>
        <w:rPr>
          <w:rFonts w:hint="default"/>
          <w:color w:val="0070C0"/>
        </w:rPr>
      </w:pPr>
    </w:p>
    <w:p>
      <w:pPr>
        <w:pStyle w:val="0"/>
        <w:ind w:firstLine="720" w:firstLineChars="300"/>
        <w:rPr>
          <w:rFonts w:hint="default" w:ascii="ＭＳ ゴシック" w:hAnsi="ＭＳ ゴシック" w:eastAsia="ＭＳ ゴシック"/>
        </w:rPr>
      </w:pPr>
      <w:r>
        <w:rPr>
          <w:rFonts w:hint="eastAsia"/>
        </w:rPr>
        <w:t>■</w:t>
      </w:r>
      <w:r>
        <w:rPr>
          <w:rFonts w:hint="eastAsia" w:ascii="ＭＳ ゴシック" w:hAnsi="ＭＳ ゴシック" w:eastAsia="ＭＳ ゴシック"/>
        </w:rPr>
        <w:t>在宅医療・介護連携推進事業の事業項目と主な取組内容</w:t>
      </w:r>
    </w:p>
    <w:tbl>
      <w:tblPr>
        <w:tblStyle w:val="59"/>
        <w:tblW w:w="9032" w:type="dxa"/>
        <w:tblInd w:w="704" w:type="dxa"/>
        <w:tblLayout w:type="fixed"/>
        <w:tblLook w:firstRow="1" w:lastRow="0" w:firstColumn="1" w:lastColumn="0" w:noHBand="0" w:noVBand="1" w:val="04A0"/>
      </w:tblPr>
      <w:tblGrid>
        <w:gridCol w:w="9032"/>
      </w:tblGrid>
      <w:tr>
        <w:trPr>
          <w:trHeight w:val="9730" w:hRule="atLeast"/>
        </w:trPr>
        <w:tc>
          <w:tcPr>
            <w:tcW w:w="903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□地域の医療・介護の資源の把握</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・医師会による「医療マップ」、「みのお認知症相談マップ」の作成、ホームページの作成</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・市による「高齢者福祉サービスのご案内」の作成</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□在宅医療・介護連携の課題の抽出と対応策の検討</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医師会による「在宅医療連携推進事業運営委員会」（隔月開催）において、地域の医療と介護の関係者、市などが参画し、在宅医療・介護連携の現状と課題の抽出、各機関において、課題に対する解決策に向けた取組を推進</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□切れ目のない在宅医療と介護の提供体制の構築推進</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医師会を核とした、多職種による在宅での看取りを含めた切れ目のない対応ができる体制の構築に向けて、診療所と病院の連携や在宅療養の後方支援のありかたを「在宅医療連携推進事業運営委員会」で検討</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□在宅医療・介護関係者の情報の共有の支援</w:t>
            </w:r>
          </w:p>
          <w:p>
            <w:pPr>
              <w:pStyle w:val="0"/>
              <w:autoSpaceDE w:val="0"/>
              <w:autoSpaceDN w:val="0"/>
              <w:adjustRightInd w:val="0"/>
              <w:ind w:left="480" w:leftChars="100" w:hanging="240" w:hangingChars="100"/>
              <w:jc w:val="both"/>
              <w:rPr>
                <w:rFonts w:hint="default" w:ascii="ＭＳ ゴシック" w:hAnsi="ＭＳ ゴシック" w:eastAsia="ＭＳ ゴシック"/>
                <w:sz w:val="24"/>
              </w:rPr>
            </w:pPr>
            <w:r>
              <w:rPr>
                <w:rFonts w:hint="eastAsia" w:ascii="ＭＳ 明朝" w:hAnsi="ＭＳ 明朝" w:eastAsia="ＭＳ 明朝"/>
                <w:sz w:val="24"/>
              </w:rPr>
              <w:t>・「主治医・介護支援専門員等の情報交換連絡票」を、認知症のかたとその家族への支援に、多くの職種が共通したアセスメントに活用できるよう改編</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□在宅医療・介護連携に関する相談支援</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・市、地域包括支援センター、居宅介護支援事業所を中心とした市民の介護相談対応</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・各病院の地域医療室を中心とした退院支援及び在宅相談支援</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・医師会配置の在宅医療コーディネーターによる関係機関との連携</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・歯科医師会による在宅歯科ケアステーションの設置</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□医療・介護関係者の研修</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・市による「多職種連携研修会」の開催（年３回）</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□地域住民への普及啓発</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・市民向けの在宅医療・介護サービスに関する講演会等の開催（年１回）</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□在宅医療・介護連携に関する関係市町の連携</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・本市と同じ二次医療圏の市町と池田保健所との情報交換や協議の実施</w:t>
            </w:r>
          </w:p>
        </w:tc>
      </w:tr>
    </w:tbl>
    <w:p>
      <w:pPr>
        <w:pStyle w:val="0"/>
        <w:rPr>
          <w:rFonts w:hint="default"/>
          <w:color w:val="0070C0"/>
        </w:rPr>
      </w:pPr>
    </w:p>
    <w:p>
      <w:pPr>
        <w:pStyle w:val="0"/>
        <w:rPr>
          <w:rFonts w:hint="default"/>
          <w:color w:val="0070C0"/>
        </w:rPr>
      </w:pPr>
    </w:p>
    <w:p>
      <w:pPr>
        <w:pStyle w:val="0"/>
        <w:rPr>
          <w:rFonts w:hint="default"/>
          <w:color w:val="0070C0"/>
        </w:rPr>
      </w:pPr>
    </w:p>
    <w:p>
      <w:pPr>
        <w:pStyle w:val="0"/>
        <w:rPr>
          <w:rFonts w:hint="default"/>
          <w:color w:val="0070C0"/>
        </w:rPr>
      </w:pP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②かかりつけ医等の普及・啓発</w:t>
      </w:r>
    </w:p>
    <w:p>
      <w:pPr>
        <w:pStyle w:val="0"/>
        <w:ind w:left="960" w:leftChars="300" w:hanging="240" w:hangingChars="100"/>
        <w:jc w:val="both"/>
        <w:rPr>
          <w:rFonts w:hint="default"/>
        </w:rPr>
      </w:pPr>
      <w:r>
        <w:rPr>
          <w:rFonts w:hint="eastAsia"/>
        </w:rPr>
        <w:t>○　高齢者が元気なときから「かかりつけ医」、「かかりつけ歯科医」、「かかりつけ薬剤師・薬局」を持ち、健康増進や病気の早期発見に取り組めるよう、普及・啓発を行いました。</w:t>
      </w:r>
    </w:p>
    <w:p>
      <w:pPr>
        <w:pStyle w:val="0"/>
        <w:ind w:left="960" w:leftChars="300" w:hanging="240" w:hangingChars="100"/>
        <w:jc w:val="both"/>
        <w:rPr>
          <w:rFonts w:hint="default"/>
        </w:rPr>
      </w:pPr>
    </w:p>
    <w:p>
      <w:pPr>
        <w:pStyle w:val="6"/>
        <w:ind w:left="0" w:leftChars="0" w:firstLine="480" w:firstLineChars="200"/>
        <w:jc w:val="both"/>
        <w:rPr>
          <w:rFonts w:hint="default" w:ascii="ＭＳ ゴシック" w:hAnsi="ＭＳ ゴシック" w:eastAsia="ＭＳ ゴシック"/>
          <w:b w:val="0"/>
        </w:rPr>
      </w:pPr>
      <w:r>
        <w:rPr>
          <w:rFonts w:hint="default" w:ascii="ＭＳ ゴシック" w:hAnsi="ＭＳ ゴシック" w:eastAsia="ＭＳ ゴシック"/>
          <w:b w:val="0"/>
        </w:rPr>
        <w:t>f</w:t>
      </w:r>
      <w:r>
        <w:rPr>
          <w:rFonts w:hint="eastAsia" w:ascii="ＭＳ ゴシック" w:hAnsi="ＭＳ ゴシック" w:eastAsia="ＭＳ ゴシック"/>
          <w:b w:val="0"/>
        </w:rPr>
        <w:t>）権利擁護の推進</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①高齢者虐待防止策の推進</w:t>
      </w:r>
    </w:p>
    <w:p>
      <w:pPr>
        <w:pStyle w:val="0"/>
        <w:ind w:left="960" w:leftChars="300" w:hanging="240" w:hangingChars="100"/>
        <w:jc w:val="both"/>
        <w:rPr>
          <w:rFonts w:hint="default"/>
        </w:rPr>
      </w:pPr>
      <w:r>
        <w:rPr>
          <w:rFonts w:hint="eastAsia"/>
        </w:rPr>
        <w:t>○　高齢者虐待への対応には、地域包括支援センター、介護サービス事業者、地域住民、地域における多様な関係団体との連携が不可欠であるため、迅速な対応体制の充実をめざして、「箕面市高齢者虐待対応マニュアル」の改訂に取り組みました。</w:t>
      </w:r>
    </w:p>
    <w:p>
      <w:pPr>
        <w:pStyle w:val="0"/>
        <w:ind w:left="960" w:leftChars="300" w:hanging="240" w:hangingChars="100"/>
        <w:jc w:val="both"/>
        <w:rPr>
          <w:rFonts w:hint="default"/>
        </w:rPr>
      </w:pPr>
      <w:r>
        <w:rPr>
          <w:rFonts w:hint="eastAsia"/>
        </w:rPr>
        <w:t>○　「成年後見制度利用促進法」に基づき、継続性を確保した法人後見体制の確保と実施に向けた検討を行いました。</w:t>
      </w:r>
    </w:p>
    <w:p>
      <w:pPr>
        <w:pStyle w:val="0"/>
        <w:ind w:left="960" w:leftChars="300" w:hanging="240" w:hangingChars="100"/>
        <w:jc w:val="both"/>
        <w:rPr>
          <w:rFonts w:hint="default"/>
        </w:rPr>
      </w:pPr>
      <w:r>
        <w:rPr>
          <w:rFonts w:hint="eastAsia"/>
        </w:rPr>
        <w:t>○　介護者による虐待を未然に防止するため、「男性介護者の会」開催など家族介護者への支援の充実を図りました。</w:t>
      </w:r>
    </w:p>
    <w:p>
      <w:pPr>
        <w:pStyle w:val="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②権利擁護の取組の充実</w:t>
      </w:r>
    </w:p>
    <w:p>
      <w:pPr>
        <w:pStyle w:val="0"/>
        <w:ind w:left="960" w:leftChars="300" w:hanging="240" w:hangingChars="100"/>
        <w:jc w:val="both"/>
        <w:rPr>
          <w:rFonts w:hint="default"/>
        </w:rPr>
      </w:pPr>
      <w:r>
        <w:rPr>
          <w:rFonts w:hint="eastAsia"/>
        </w:rPr>
        <w:t>○　身寄りがなく、成年後見制度の利用が困難な高齢者については、市が当事者に代わって成年後見制度の申立てを行う「市長申立て」や、低所得者への費用給付など、権利擁護を推進する各種制度を活用しました。</w:t>
      </w:r>
    </w:p>
    <w:p>
      <w:pPr>
        <w:pStyle w:val="0"/>
        <w:ind w:left="960" w:leftChars="300" w:hanging="240" w:hangingChars="100"/>
        <w:jc w:val="both"/>
        <w:rPr>
          <w:rFonts w:hint="default"/>
          <w:color w:val="FF0000"/>
        </w:rPr>
      </w:pPr>
      <w:r>
        <w:rPr>
          <w:rFonts w:hint="eastAsia"/>
        </w:rPr>
        <w:t>○　地域包括支援センターが中心となり、消費生活センター、警察、消防等の多様な関係機関とも連携を強化して、引き続き高齢者の消費者被害を未然に防止するよう努めました。</w:t>
      </w:r>
    </w:p>
    <w:p>
      <w:pPr>
        <w:pStyle w:val="0"/>
        <w:rPr>
          <w:rFonts w:hint="default"/>
          <w:color w:val="FF0000"/>
        </w:rPr>
      </w:pPr>
    </w:p>
    <w:p>
      <w:pPr>
        <w:pStyle w:val="5"/>
        <w:ind w:left="0" w:leftChars="0" w:firstLine="240" w:firstLineChars="100"/>
        <w:rPr>
          <w:rFonts w:hint="default" w:ascii="ＭＳ ゴシック" w:hAnsi="ＭＳ ゴシック" w:eastAsia="ＭＳ ゴシック"/>
        </w:rPr>
      </w:pPr>
      <w:bookmarkStart w:id="48" w:name="_Toc59007775"/>
      <w:r>
        <w:rPr>
          <w:rFonts w:hint="eastAsia" w:ascii="ＭＳ ゴシック" w:hAnsi="ＭＳ ゴシック" w:eastAsia="ＭＳ ゴシック"/>
        </w:rPr>
        <w:t>ウ）認知症高齢者支援策の充実</w:t>
      </w:r>
      <w:bookmarkEnd w:id="48"/>
    </w:p>
    <w:p>
      <w:pPr>
        <w:pStyle w:val="6"/>
        <w:ind w:left="0" w:leftChars="0" w:firstLine="480" w:firstLineChars="200"/>
        <w:rPr>
          <w:rFonts w:hint="default" w:ascii="ＭＳ ゴシック" w:hAnsi="ＭＳ ゴシック" w:eastAsia="ＭＳ ゴシック"/>
          <w:b w:val="0"/>
        </w:rPr>
      </w:pPr>
      <w:r>
        <w:rPr>
          <w:rFonts w:hint="eastAsia" w:ascii="ＭＳ ゴシック" w:hAnsi="ＭＳ ゴシック" w:eastAsia="ＭＳ ゴシック"/>
          <w:b w:val="0"/>
        </w:rPr>
        <w:t>a</w:t>
      </w:r>
      <w:r>
        <w:rPr>
          <w:rFonts w:hint="eastAsia" w:ascii="ＭＳ ゴシック" w:hAnsi="ＭＳ ゴシック" w:eastAsia="ＭＳ ゴシック"/>
          <w:b w:val="0"/>
        </w:rPr>
        <w:t>）認知症予防と啓発の推進</w:t>
      </w:r>
    </w:p>
    <w:p>
      <w:pPr>
        <w:pStyle w:val="0"/>
        <w:autoSpaceDE w:val="0"/>
        <w:autoSpaceDN w:val="0"/>
        <w:adjustRightInd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■認知症予防の取組内容</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□認知症に関する講座</w:t>
            </w:r>
          </w:p>
          <w:p>
            <w:pPr>
              <w:pStyle w:val="0"/>
              <w:autoSpaceDE w:val="0"/>
              <w:autoSpaceDN w:val="0"/>
              <w:adjustRightInd w:val="0"/>
              <w:ind w:left="240" w:left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認知症に関する正しい知識を得ることは、認知症の発症や進行を遅らせ、早期に治療へつながる効果があるため、市の認知症地域支援推進員が中心となり、幅広い世代への講座や前期高齢者をターゲットとした教室の開催を行いました。</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□認知症予防推進員の養成</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街かどデイハウスや高齢者ふれあいいきいきサロン等、地域の通いの場での認知症予防と啓発の役割を担う「認知症予防推進員」を養成しました。</w:t>
            </w:r>
          </w:p>
          <w:p>
            <w:pPr>
              <w:pStyle w:val="0"/>
              <w:autoSpaceDE w:val="0"/>
              <w:autoSpaceDN w:val="0"/>
              <w:adjustRightInd w:val="0"/>
              <w:ind w:left="240" w:hanging="240" w:hangingChars="10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□認知症予防自主グループへの支援</w:t>
            </w:r>
          </w:p>
          <w:p>
            <w:pPr>
              <w:pStyle w:val="0"/>
              <w:autoSpaceDE w:val="0"/>
              <w:autoSpaceDN w:val="0"/>
              <w:adjustRightInd w:val="0"/>
              <w:ind w:left="240" w:hanging="240" w:hangingChars="100"/>
              <w:jc w:val="both"/>
              <w:rPr>
                <w:rFonts w:hint="default" w:ascii="ＭＳ 明朝" w:hAnsi="ＭＳ 明朝" w:eastAsia="ＭＳ 明朝"/>
                <w:color w:val="FF0000"/>
                <w:sz w:val="24"/>
              </w:rPr>
            </w:pPr>
            <w:r>
              <w:rPr>
                <w:rFonts w:hint="eastAsia"/>
                <w:color w:val="000000" w:themeColor="text1"/>
                <w:sz w:val="24"/>
              </w:rPr>
              <w:t>　</w:t>
            </w:r>
            <w:r>
              <w:rPr>
                <w:rFonts w:hint="eastAsia" w:ascii="ＭＳ 明朝" w:hAnsi="ＭＳ 明朝" w:eastAsia="ＭＳ 明朝"/>
                <w:color w:val="000000" w:themeColor="text1"/>
                <w:sz w:val="24"/>
              </w:rPr>
              <w:t>認知症についてより具体的に理解を深めるとともに、継続的に予防活動ができるように「認知症予防自主グループ」の立ち上げ及び支援を行いました。</w:t>
            </w:r>
          </w:p>
        </w:tc>
      </w:tr>
    </w:tbl>
    <w:p>
      <w:pPr>
        <w:pStyle w:val="0"/>
        <w:ind w:firstLine="480" w:firstLineChars="200"/>
        <w:rPr>
          <w:rFonts w:hint="default"/>
        </w:rPr>
      </w:pPr>
      <w:bookmarkStart w:id="49" w:name="_Hlk499199831"/>
      <w:bookmarkEnd w:id="49"/>
      <w:bookmarkStart w:id="50" w:name="_Toc512263467"/>
      <w:bookmarkEnd w:id="50"/>
    </w:p>
    <w:p>
      <w:pPr>
        <w:pStyle w:val="0"/>
        <w:ind w:firstLine="480" w:firstLineChars="200"/>
        <w:rPr>
          <w:rFonts w:hint="default"/>
        </w:rPr>
      </w:pP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ind w:left="240" w:hanging="240" w:hangingChars="10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□医療と介護データの分析</w:t>
            </w:r>
          </w:p>
          <w:p>
            <w:pPr>
              <w:pStyle w:val="0"/>
              <w:autoSpaceDE w:val="0"/>
              <w:autoSpaceDN w:val="0"/>
              <w:adjustRightInd w:val="0"/>
              <w:ind w:left="240" w:leftChars="100"/>
              <w:jc w:val="both"/>
              <w:rPr>
                <w:rFonts w:hint="default" w:ascii="ＭＳ 明朝" w:hAnsi="ＭＳ 明朝" w:eastAsia="ＭＳ 明朝"/>
                <w:color w:val="FF0000"/>
                <w:sz w:val="24"/>
              </w:rPr>
            </w:pPr>
            <w:r>
              <w:rPr>
                <w:rFonts w:hint="eastAsia" w:ascii="ＭＳ 明朝" w:hAnsi="ＭＳ 明朝" w:eastAsia="ＭＳ 明朝"/>
                <w:color w:val="000000" w:themeColor="text1"/>
                <w:sz w:val="24"/>
              </w:rPr>
              <w:t>認知症に関するエビデンスの収集を行うため、</w:t>
            </w:r>
            <w:r>
              <w:rPr>
                <w:rFonts w:hint="default" w:ascii="ＭＳ 明朝" w:hAnsi="ＭＳ 明朝" w:eastAsia="ＭＳ 明朝"/>
                <w:color w:val="000000" w:themeColor="text1"/>
                <w:sz w:val="24"/>
              </w:rPr>
              <w:t>65</w:t>
            </w:r>
            <w:r>
              <w:rPr>
                <w:rFonts w:hint="default" w:ascii="ＭＳ 明朝" w:hAnsi="ＭＳ 明朝" w:eastAsia="ＭＳ 明朝"/>
                <w:color w:val="000000" w:themeColor="text1"/>
                <w:sz w:val="24"/>
              </w:rPr>
              <w:t>歳から</w:t>
            </w:r>
            <w:r>
              <w:rPr>
                <w:rFonts w:hint="default" w:ascii="ＭＳ 明朝" w:hAnsi="ＭＳ 明朝" w:eastAsia="ＭＳ 明朝"/>
                <w:color w:val="000000" w:themeColor="text1"/>
                <w:sz w:val="24"/>
              </w:rPr>
              <w:t>74</w:t>
            </w:r>
            <w:r>
              <w:rPr>
                <w:rFonts w:hint="default" w:ascii="ＭＳ 明朝" w:hAnsi="ＭＳ 明朝" w:eastAsia="ＭＳ 明朝"/>
                <w:color w:val="000000" w:themeColor="text1"/>
                <w:sz w:val="24"/>
              </w:rPr>
              <w:t>歳の国民健康保険被保険者（</w:t>
            </w:r>
            <w:r>
              <w:rPr>
                <w:rFonts w:hint="default" w:ascii="ＭＳ 明朝" w:hAnsi="ＭＳ 明朝" w:eastAsia="ＭＳ 明朝"/>
                <w:color w:val="000000" w:themeColor="text1"/>
                <w:sz w:val="24"/>
              </w:rPr>
              <w:t>11,643</w:t>
            </w:r>
            <w:r>
              <w:rPr>
                <w:rFonts w:hint="default" w:ascii="ＭＳ 明朝" w:hAnsi="ＭＳ 明朝" w:eastAsia="ＭＳ 明朝"/>
                <w:color w:val="000000" w:themeColor="text1"/>
                <w:sz w:val="24"/>
              </w:rPr>
              <w:t>人）と</w:t>
            </w:r>
            <w:r>
              <w:rPr>
                <w:rFonts w:hint="default" w:ascii="ＭＳ 明朝" w:hAnsi="ＭＳ 明朝" w:eastAsia="ＭＳ 明朝"/>
                <w:color w:val="000000" w:themeColor="text1"/>
                <w:sz w:val="24"/>
              </w:rPr>
              <w:t>75</w:t>
            </w:r>
            <w:r>
              <w:rPr>
                <w:rFonts w:hint="default" w:ascii="ＭＳ 明朝" w:hAnsi="ＭＳ 明朝" w:eastAsia="ＭＳ 明朝"/>
                <w:color w:val="000000" w:themeColor="text1"/>
                <w:sz w:val="24"/>
              </w:rPr>
              <w:t>歳以上の後期高齢者医療被保険者（</w:t>
            </w:r>
            <w:r>
              <w:rPr>
                <w:rFonts w:hint="default" w:ascii="ＭＳ 明朝" w:hAnsi="ＭＳ 明朝" w:eastAsia="ＭＳ 明朝"/>
                <w:color w:val="000000" w:themeColor="text1"/>
                <w:sz w:val="24"/>
              </w:rPr>
              <w:t>17,955</w:t>
            </w:r>
            <w:r>
              <w:rPr>
                <w:rFonts w:hint="default" w:ascii="ＭＳ 明朝" w:hAnsi="ＭＳ 明朝" w:eastAsia="ＭＳ 明朝"/>
                <w:color w:val="000000" w:themeColor="text1"/>
                <w:sz w:val="24"/>
              </w:rPr>
              <w:t>人）の医療と介護データの分析を行いました。糖尿病や高血圧症などの生活習慣病との関連性があり、生活習慣病の発症予防や重症化予防が認知症の発症や進行を遅らせる要因のひとつであると示唆されます。</w:t>
            </w:r>
          </w:p>
        </w:tc>
      </w:tr>
    </w:tbl>
    <w:p>
      <w:pPr>
        <w:pStyle w:val="0"/>
        <w:ind w:firstLine="480" w:firstLineChars="200"/>
        <w:rPr>
          <w:rFonts w:hint="default"/>
        </w:rPr>
      </w:pPr>
    </w:p>
    <w:p>
      <w:pPr>
        <w:pStyle w:val="6"/>
        <w:ind w:left="0" w:leftChars="0" w:firstLine="480" w:firstLineChars="200"/>
        <w:rPr>
          <w:rFonts w:hint="default" w:ascii="ＭＳ ゴシック" w:hAnsi="ＭＳ ゴシック" w:eastAsia="ＭＳ ゴシック"/>
          <w:b w:val="0"/>
        </w:rPr>
      </w:pPr>
      <w:r>
        <w:rPr>
          <w:rFonts w:hint="eastAsia" w:ascii="ＭＳ ゴシック" w:hAnsi="ＭＳ ゴシック" w:eastAsia="ＭＳ ゴシック"/>
          <w:b w:val="0"/>
        </w:rPr>
        <w:t>b</w:t>
      </w:r>
      <w:r>
        <w:rPr>
          <w:rFonts w:hint="eastAsia" w:ascii="ＭＳ ゴシック" w:hAnsi="ＭＳ ゴシック" w:eastAsia="ＭＳ ゴシック"/>
          <w:b w:val="0"/>
        </w:rPr>
        <w:t>）認知症の早期発見・早期対応の推進</w:t>
      </w:r>
    </w:p>
    <w:p>
      <w:pPr>
        <w:pStyle w:val="7"/>
        <w:ind w:left="0" w:leftChars="0" w:firstLine="480" w:firstLineChars="200"/>
        <w:rPr>
          <w:rFonts w:hint="default" w:ascii="ＭＳ ゴシック" w:hAnsi="ＭＳ ゴシック" w:eastAsia="ＭＳ ゴシック"/>
        </w:rPr>
      </w:pPr>
      <w:r>
        <w:rPr>
          <w:rFonts w:hint="eastAsia" w:ascii="ＭＳ ゴシック" w:hAnsi="ＭＳ ゴシック" w:eastAsia="ＭＳ ゴシック"/>
        </w:rPr>
        <w:t>①早期発見、早期対応</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□認知機能低下サインへの気づき</w:t>
            </w:r>
          </w:p>
          <w:p>
            <w:pPr>
              <w:pStyle w:val="0"/>
              <w:autoSpaceDE w:val="0"/>
              <w:autoSpaceDN w:val="0"/>
              <w:adjustRightInd w:val="0"/>
              <w:ind w:left="240" w:left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できるだけ早く発見し、相談、治療、適切なサポートを受けることで、進行を遅らせたり、今後の生活の準備をすることができる可能性があるため、認知機能の低下サインに気づけるように以下の取組を行いました。</w:t>
            </w:r>
          </w:p>
          <w:p>
            <w:pPr>
              <w:pStyle w:val="0"/>
              <w:autoSpaceDE w:val="0"/>
              <w:autoSpaceDN w:val="0"/>
              <w:adjustRightInd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・箕面市版認知症ケアパス「認知症安心ガイド」の改訂</w:t>
            </w:r>
          </w:p>
          <w:p>
            <w:pPr>
              <w:pStyle w:val="0"/>
              <w:autoSpaceDE w:val="0"/>
              <w:autoSpaceDN w:val="0"/>
              <w:adjustRightInd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・広報紙に「認知症安心ガイド」を掲載し、市民全体への啓発</w:t>
            </w:r>
          </w:p>
          <w:p>
            <w:pPr>
              <w:pStyle w:val="0"/>
              <w:autoSpaceDE w:val="0"/>
              <w:autoSpaceDN w:val="0"/>
              <w:adjustRightInd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・介護保険料決定通知書に「認知症安心ガイド」を同封し、約</w:t>
            </w:r>
            <w:r>
              <w:rPr>
                <w:rFonts w:hint="default" w:ascii="ＭＳ 明朝" w:hAnsi="ＭＳ 明朝" w:eastAsia="ＭＳ 明朝"/>
                <w:color w:val="000000" w:themeColor="text1"/>
                <w:sz w:val="24"/>
              </w:rPr>
              <w:t>35,000</w:t>
            </w:r>
            <w:r>
              <w:rPr>
                <w:rFonts w:hint="default" w:ascii="ＭＳ 明朝" w:hAnsi="ＭＳ 明朝" w:eastAsia="ＭＳ 明朝"/>
                <w:color w:val="000000" w:themeColor="text1"/>
                <w:sz w:val="24"/>
              </w:rPr>
              <w:t>人へ発送</w:t>
            </w:r>
          </w:p>
          <w:p>
            <w:pPr>
              <w:pStyle w:val="0"/>
              <w:autoSpaceDE w:val="0"/>
              <w:autoSpaceDN w:val="0"/>
              <w:adjustRightInd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・認知機能検査アプリが入ったタブレットの体験会の開催</w:t>
            </w:r>
          </w:p>
          <w:p>
            <w:pPr>
              <w:pStyle w:val="0"/>
              <w:autoSpaceDE w:val="0"/>
              <w:autoSpaceDN w:val="0"/>
              <w:adjustRightInd w:val="0"/>
              <w:ind w:left="480" w:leftChars="10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・地域包括支援センター、社会福祉協議会、稲ふれあいセンターの計７か所にタブレットを設置</w:t>
            </w:r>
          </w:p>
          <w:p>
            <w:pPr>
              <w:pStyle w:val="0"/>
              <w:autoSpaceDE w:val="0"/>
              <w:autoSpaceDN w:val="0"/>
              <w:adjustRightInd w:val="0"/>
              <w:ind w:left="480" w:leftChars="10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w:t>
            </w:r>
            <w:r>
              <w:rPr>
                <w:rFonts w:hint="eastAsia" w:ascii="ＭＳ 明朝" w:hAnsi="ＭＳ 明朝" w:eastAsia="ＭＳ 明朝"/>
                <w:sz w:val="24"/>
              </w:rPr>
              <w:t>約</w:t>
            </w:r>
            <w:r>
              <w:rPr>
                <w:rFonts w:hint="eastAsia" w:ascii="ＭＳ 明朝" w:hAnsi="ＭＳ 明朝" w:eastAsia="ＭＳ 明朝"/>
                <w:sz w:val="24"/>
              </w:rPr>
              <w:t>45</w:t>
            </w:r>
            <w:r>
              <w:rPr>
                <w:rFonts w:hint="eastAsia" w:ascii="ＭＳ 明朝" w:hAnsi="ＭＳ 明朝" w:eastAsia="ＭＳ 明朝"/>
                <w:sz w:val="24"/>
              </w:rPr>
              <w:t>分間スクリーンを使って、脳の認知機能を見ながら集団で実施する簡易測定会</w:t>
            </w:r>
            <w:r>
              <w:rPr>
                <w:rFonts w:hint="default" w:ascii="ＭＳ 明朝" w:hAnsi="ＭＳ 明朝" w:eastAsia="ＭＳ 明朝"/>
                <w:color w:val="000000" w:themeColor="text1"/>
                <w:sz w:val="24"/>
              </w:rPr>
              <w:t>（ファイブ・コグ）</w:t>
            </w:r>
            <w:r>
              <w:rPr>
                <w:rFonts w:hint="eastAsia" w:ascii="ＭＳ 明朝" w:hAnsi="ＭＳ 明朝" w:eastAsia="ＭＳ 明朝"/>
                <w:sz w:val="24"/>
              </w:rPr>
              <w:t>の開催</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□医療機関への受診勧奨</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状態に応じて地域包括支援センターの促しや「みのお認知症相談マップ」を活用し、認知症状の状態に応じたサービス利用や、医療機関への受診を勧奨しました。</w:t>
            </w:r>
          </w:p>
        </w:tc>
      </w:tr>
    </w:tbl>
    <w:p>
      <w:pPr>
        <w:pStyle w:val="0"/>
        <w:ind w:firstLine="480" w:firstLineChars="200"/>
        <w:rPr>
          <w:rFonts w:hint="default"/>
        </w:rPr>
      </w:pPr>
      <w:bookmarkStart w:id="51" w:name="_Toc512263470"/>
      <w:bookmarkEnd w:id="51"/>
    </w:p>
    <w:p>
      <w:pPr>
        <w:pStyle w:val="0"/>
        <w:rPr>
          <w:rFonts w:hint="default" w:ascii="ＭＳ ゴシック" w:hAnsi="ＭＳ ゴシック" w:eastAsia="ＭＳ ゴシック"/>
        </w:rPr>
      </w:pPr>
      <w:r>
        <w:rPr>
          <w:rFonts w:hint="eastAsia"/>
          <w:b w:val="1"/>
        </w:rPr>
        <w:t>　　</w:t>
      </w:r>
      <w:r>
        <w:rPr>
          <w:rFonts w:hint="eastAsia" w:ascii="ＭＳ ゴシック" w:hAnsi="ＭＳ ゴシック" w:eastAsia="ＭＳ ゴシック"/>
        </w:rPr>
        <w:t>②認知症初期集中支援チームによる支援</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□連携・指導・助言</w:t>
            </w:r>
          </w:p>
          <w:p>
            <w:pPr>
              <w:pStyle w:val="0"/>
              <w:autoSpaceDE w:val="0"/>
              <w:autoSpaceDN w:val="0"/>
              <w:adjustRightInd w:val="0"/>
              <w:ind w:left="240" w:left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地域包括支援センター、介護サービス事業者などと連携し、認知症相談状況を確認し必要な指導助言等の支援を行いました。</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□特別集中支援チームによる支援</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color w:val="000000" w:themeColor="text1"/>
                <w:sz w:val="24"/>
              </w:rPr>
              <w:t>　</w:t>
            </w:r>
            <w:r>
              <w:rPr>
                <w:rFonts w:hint="eastAsia" w:ascii="ＭＳ 明朝" w:hAnsi="ＭＳ 明朝" w:eastAsia="ＭＳ 明朝"/>
                <w:color w:val="000000" w:themeColor="text1"/>
                <w:sz w:val="24"/>
              </w:rPr>
              <w:t>医師と保健師で構成する認知症初期集中支援チームにより、医療・介護サービスにつながっていない認知症高齢者等とその家族に対し、適切かつ必要なサービスが受けられるよう医療機関への受診勧奨や同行受診などを行いました。また、地域の医療機関と連携し、毎月チームでの情報共有を行い、困難事案の検証や支援方針のありかた等を検討しました。</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rPr>
        <w:br w:type="page"/>
      </w:r>
      <w:r>
        <w:rPr>
          <w:rFonts w:hint="eastAsia" w:ascii="ＭＳ ゴシック" w:hAnsi="ＭＳ ゴシック" w:eastAsia="ＭＳ ゴシック"/>
          <w:color w:val="000000" w:themeColor="text1"/>
        </w:rPr>
        <w:t>■認知症初期集中支援チームによる主な取組内容</w:t>
      </w:r>
    </w:p>
    <w:p>
      <w:pPr>
        <w:pStyle w:val="0"/>
        <w:rPr>
          <w:rFonts w:hint="default" w:ascii="ＭＳ ゴシック" w:hAnsi="ＭＳ ゴシック" w:eastAsia="ＭＳ ゴシック"/>
        </w:rPr>
      </w:pPr>
      <w:r>
        <w:rPr>
          <w:rFonts w:hint="eastAsia" w:ascii="ＭＳ ゴシック" w:hAnsi="ＭＳ ゴシック" w:eastAsia="ＭＳ ゴシック"/>
        </w:rPr>
        <w:t>（全</w:t>
      </w:r>
      <w:r>
        <w:rPr>
          <w:rFonts w:hint="eastAsia" w:ascii="ＭＳ ゴシック" w:hAnsi="ＭＳ ゴシック" w:eastAsia="ＭＳ ゴシック"/>
        </w:rPr>
        <w:t>198</w:t>
      </w:r>
      <w:r>
        <w:rPr>
          <w:rFonts w:hint="eastAsia" w:ascii="ＭＳ ゴシック" w:hAnsi="ＭＳ ゴシック" w:eastAsia="ＭＳ ゴシック"/>
        </w:rPr>
        <w:t>件：平成</w:t>
      </w:r>
      <w:r>
        <w:rPr>
          <w:rFonts w:hint="eastAsia" w:ascii="ＭＳ ゴシック" w:hAnsi="ＭＳ ゴシック" w:eastAsia="ＭＳ ゴシック"/>
        </w:rPr>
        <w:t>31</w:t>
      </w:r>
      <w:r>
        <w:rPr>
          <w:rFonts w:hint="eastAsia" w:ascii="ＭＳ ゴシック" w:hAnsi="ＭＳ ゴシック" w:eastAsia="ＭＳ ゴシック"/>
        </w:rPr>
        <w:t>年</w:t>
      </w:r>
      <w:r>
        <w:rPr>
          <w:rFonts w:hint="eastAsia" w:ascii="ＭＳ ゴシック" w:hAnsi="ＭＳ ゴシック" w:eastAsia="ＭＳ ゴシック"/>
        </w:rPr>
        <w:t>(2019</w:t>
      </w:r>
      <w:r>
        <w:rPr>
          <w:rFonts w:hint="eastAsia" w:ascii="ＭＳ ゴシック" w:hAnsi="ＭＳ ゴシック" w:eastAsia="ＭＳ ゴシック"/>
        </w:rPr>
        <w:t>年</w:t>
      </w:r>
      <w:r>
        <w:rPr>
          <w:rFonts w:hint="eastAsia" w:ascii="ＭＳ ゴシック" w:hAnsi="ＭＳ ゴシック" w:eastAsia="ＭＳ ゴシック"/>
        </w:rPr>
        <w:t>)</w:t>
      </w:r>
      <w:r>
        <w:rPr>
          <w:rFonts w:hint="eastAsia" w:ascii="ＭＳ ゴシック" w:hAnsi="ＭＳ ゴシック" w:eastAsia="ＭＳ ゴシック"/>
        </w:rPr>
        <w:t>４月～令和２年</w:t>
      </w:r>
      <w:r>
        <w:rPr>
          <w:rFonts w:hint="eastAsia" w:ascii="ＭＳ ゴシック" w:hAnsi="ＭＳ ゴシック" w:eastAsia="ＭＳ ゴシック"/>
        </w:rPr>
        <w:t>(2020</w:t>
      </w:r>
      <w:r>
        <w:rPr>
          <w:rFonts w:hint="eastAsia" w:ascii="ＭＳ ゴシック" w:hAnsi="ＭＳ ゴシック" w:eastAsia="ＭＳ ゴシック"/>
        </w:rPr>
        <w:t>年</w:t>
      </w:r>
      <w:r>
        <w:rPr>
          <w:rFonts w:hint="eastAsia" w:ascii="ＭＳ ゴシック" w:hAnsi="ＭＳ ゴシック" w:eastAsia="ＭＳ ゴシック"/>
        </w:rPr>
        <w:t>)</w:t>
      </w:r>
      <w:r>
        <w:rPr>
          <w:rFonts w:hint="eastAsia" w:ascii="ＭＳ ゴシック" w:hAnsi="ＭＳ ゴシック" w:eastAsia="ＭＳ ゴシック"/>
        </w:rPr>
        <w:t>３月対応分）</w:t>
      </w:r>
    </w:p>
    <w:p>
      <w:pPr>
        <w:pStyle w:val="0"/>
        <w:rPr>
          <w:rFonts w:hint="default"/>
        </w:rPr>
      </w:pPr>
      <w:r>
        <w:rPr>
          <w:rFonts w:hint="eastAsia"/>
        </w:rPr>
        <mc:AlternateContent>
          <mc:Choice Requires="wps">
            <w:drawing>
              <wp:anchor distT="0" distB="0" distL="203200" distR="203200" simplePos="0" relativeHeight="64" behindDoc="0" locked="0" layoutInCell="1" hidden="0" allowOverlap="1">
                <wp:simplePos x="0" y="0"/>
                <wp:positionH relativeFrom="column">
                  <wp:posOffset>105410</wp:posOffset>
                </wp:positionH>
                <wp:positionV relativeFrom="paragraph">
                  <wp:posOffset>102235</wp:posOffset>
                </wp:positionV>
                <wp:extent cx="5903595" cy="6386830"/>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wps:spPr>
                        <a:xfrm>
                          <a:off x="0" y="0"/>
                          <a:ext cx="5903595" cy="638683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8.0500000000000007pt;mso-position-vertical-relative:text;mso-position-horizontal-relative:text;position:absolute;height:502.9pt;mso-wrap-distance-top:0pt;width:464.85pt;mso-wrap-distance-left:16pt;margin-left:8.3000000000000007pt;z-index:64;" o:spid="_x0000_s1122"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ascii="ＭＳ ゴシック" w:hAnsi="ＭＳ ゴシック" w:eastAsia="ＭＳ ゴシック"/>
        </w:rPr>
      </w:pPr>
      <w:r>
        <w:rPr>
          <w:rFonts w:hint="eastAsia"/>
        </w:rPr>
        <w:t>　　</w:t>
      </w:r>
      <w:r>
        <w:rPr>
          <w:rFonts w:hint="eastAsia" w:ascii="ＭＳ ゴシック" w:hAnsi="ＭＳ ゴシック" w:eastAsia="ＭＳ ゴシック"/>
        </w:rPr>
        <w:t>１．相談内容内訳</w:t>
      </w:r>
    </w:p>
    <w:p>
      <w:pPr>
        <w:pStyle w:val="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65" behindDoc="0" locked="0" layoutInCell="1" hidden="0" allowOverlap="1">
            <wp:simplePos x="0" y="0"/>
            <wp:positionH relativeFrom="column">
              <wp:posOffset>428625</wp:posOffset>
            </wp:positionH>
            <wp:positionV relativeFrom="paragraph">
              <wp:posOffset>11430</wp:posOffset>
            </wp:positionV>
            <wp:extent cx="5248275" cy="2714625"/>
            <wp:effectExtent l="0" t="0" r="0" b="0"/>
            <wp:wrapNone/>
            <wp:docPr id="1123" name="Picture 2"/>
            <a:graphic xmlns:a="http://schemas.openxmlformats.org/drawingml/2006/main">
              <a:graphicData uri="http://schemas.openxmlformats.org/drawingml/2006/picture">
                <pic:pic xmlns:pic="http://schemas.openxmlformats.org/drawingml/2006/picture">
                  <pic:nvPicPr>
                    <pic:cNvPr id="1123" name="Picture 2"/>
                    <pic:cNvPicPr>
                      <a:picLocks noChangeAspect="1" noChangeArrowheads="1"/>
                    </pic:cNvPicPr>
                  </pic:nvPicPr>
                  <pic:blipFill>
                    <a:blip r:embed="rId79"/>
                    <a:stretch>
                      <a:fillRect/>
                    </a:stretch>
                  </pic:blipFill>
                  <pic:spPr>
                    <a:xfrm>
                      <a:off x="0" y="0"/>
                      <a:ext cx="5248275" cy="2714625"/>
                    </a:xfrm>
                    <a:prstGeom prst="rect">
                      <a:avLst/>
                    </a:prstGeom>
                    <a:noFill/>
                    <a:ln>
                      <a:noFill/>
                    </a:ln>
                  </pic:spPr>
                </pic:pic>
              </a:graphicData>
            </a:graphic>
          </wp:anchor>
        </w:drawing>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67" behindDoc="0" locked="0" layoutInCell="1" hidden="0" allowOverlap="1">
            <wp:simplePos x="0" y="0"/>
            <wp:positionH relativeFrom="column">
              <wp:posOffset>3686175</wp:posOffset>
            </wp:positionH>
            <wp:positionV relativeFrom="paragraph">
              <wp:posOffset>190500</wp:posOffset>
            </wp:positionV>
            <wp:extent cx="1990725" cy="2124075"/>
            <wp:effectExtent l="0" t="0" r="0" b="0"/>
            <wp:wrapNone/>
            <wp:docPr id="1124" name="Picture 4"/>
            <a:graphic xmlns:a="http://schemas.openxmlformats.org/drawingml/2006/main">
              <a:graphicData uri="http://schemas.openxmlformats.org/drawingml/2006/picture">
                <pic:pic xmlns:pic="http://schemas.openxmlformats.org/drawingml/2006/picture">
                  <pic:nvPicPr>
                    <pic:cNvPr id="1124" name="Picture 4"/>
                    <pic:cNvPicPr>
                      <a:picLocks noChangeAspect="1" noChangeArrowheads="1"/>
                    </pic:cNvPicPr>
                  </pic:nvPicPr>
                  <pic:blipFill>
                    <a:blip r:embed="rId80"/>
                    <a:srcRect l="22879" b="21754"/>
                    <a:stretch>
                      <a:fillRect/>
                    </a:stretch>
                  </pic:blipFill>
                  <pic:spPr>
                    <a:xfrm>
                      <a:off x="0" y="0"/>
                      <a:ext cx="1990725" cy="2124075"/>
                    </a:xfrm>
                    <a:prstGeom prst="rect">
                      <a:avLst/>
                    </a:prstGeom>
                    <a:noFill/>
                    <a:ln>
                      <a:noFill/>
                    </a:ln>
                  </pic:spPr>
                </pic:pic>
              </a:graphicData>
            </a:graphic>
          </wp:anchor>
        </w:drawing>
      </w:r>
    </w:p>
    <w:p>
      <w:pPr>
        <w:pStyle w:val="0"/>
        <w:rPr>
          <w:rFonts w:hint="default" w:ascii="ＭＳ ゴシック" w:hAnsi="ＭＳ ゴシック" w:eastAsia="ＭＳ ゴシック"/>
        </w:rPr>
      </w:pPr>
      <w:r>
        <w:rPr>
          <w:rFonts w:hint="eastAsia" w:ascii="ＭＳ ゴシック" w:hAnsi="ＭＳ ゴシック" w:eastAsia="ＭＳ ゴシック"/>
        </w:rPr>
        <w:t>　　２．性別　　　　　　　　　　　　　３．年齢</w:t>
      </w:r>
    </w:p>
    <w:p>
      <w:pPr>
        <w:pStyle w:val="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66" behindDoc="0" locked="0" layoutInCell="1" hidden="0" allowOverlap="1">
            <wp:simplePos x="0" y="0"/>
            <wp:positionH relativeFrom="column">
              <wp:posOffset>1038225</wp:posOffset>
            </wp:positionH>
            <wp:positionV relativeFrom="paragraph">
              <wp:posOffset>209550</wp:posOffset>
            </wp:positionV>
            <wp:extent cx="1609725" cy="1695450"/>
            <wp:effectExtent l="0" t="0" r="0" b="0"/>
            <wp:wrapNone/>
            <wp:docPr id="1125" name="Picture 3"/>
            <a:graphic xmlns:a="http://schemas.openxmlformats.org/drawingml/2006/main">
              <a:graphicData uri="http://schemas.openxmlformats.org/drawingml/2006/picture">
                <pic:pic xmlns:pic="http://schemas.openxmlformats.org/drawingml/2006/picture">
                  <pic:nvPicPr>
                    <pic:cNvPr id="1125" name="Picture 3"/>
                    <pic:cNvPicPr>
                      <a:picLocks noChangeAspect="1" noChangeArrowheads="1"/>
                    </pic:cNvPicPr>
                  </pic:nvPicPr>
                  <pic:blipFill>
                    <a:blip r:embed="rId81"/>
                    <a:srcRect l="16667" t="17194" r="20740" b="20352"/>
                    <a:stretch>
                      <a:fillRect/>
                    </a:stretch>
                  </pic:blipFill>
                  <pic:spPr>
                    <a:xfrm>
                      <a:off x="0" y="0"/>
                      <a:ext cx="1609725" cy="1695450"/>
                    </a:xfrm>
                    <a:prstGeom prst="rect">
                      <a:avLst/>
                    </a:prstGeom>
                    <a:noFill/>
                    <a:ln>
                      <a:noFill/>
                    </a:ln>
                  </pic:spPr>
                </pic:pic>
              </a:graphicData>
            </a:graphic>
          </wp:anchor>
        </w:drawing>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ind w:firstLine="480" w:firstLineChars="200"/>
        <w:rPr>
          <w:rFonts w:hint="default"/>
          <w:color w:val="000000" w:themeColor="text1"/>
        </w:rPr>
      </w:pPr>
      <w:r>
        <w:rPr>
          <w:rFonts w:hint="eastAsia"/>
          <w:color w:val="000000" w:themeColor="text1"/>
        </w:rPr>
        <w:t>・相談内容は、「支援方針」、「徘徊」で半数以上を占めています。</w:t>
      </w:r>
    </w:p>
    <w:p>
      <w:pPr>
        <w:pStyle w:val="0"/>
        <w:ind w:firstLine="480" w:firstLineChars="200"/>
        <w:rPr>
          <w:rFonts w:hint="default"/>
          <w:color w:val="000000" w:themeColor="text1"/>
        </w:rPr>
      </w:pPr>
      <w:r>
        <w:rPr>
          <w:rFonts w:hint="eastAsia"/>
          <w:color w:val="000000" w:themeColor="text1"/>
        </w:rPr>
        <w:t>・性別は、女性が６割以上を占めています。</w:t>
      </w:r>
    </w:p>
    <w:p>
      <w:pPr>
        <w:pStyle w:val="0"/>
        <w:ind w:firstLine="480" w:firstLineChars="200"/>
        <w:rPr>
          <w:rFonts w:hint="default" w:ascii="ＭＳ ゴシック" w:hAnsi="ＭＳ ゴシック" w:eastAsia="ＭＳ ゴシック"/>
        </w:rPr>
      </w:pPr>
      <w:r>
        <w:rPr>
          <w:rFonts w:hint="eastAsia"/>
          <w:color w:val="000000" w:themeColor="text1"/>
        </w:rPr>
        <w:t>・年齢は、</w:t>
      </w:r>
      <w:r>
        <w:rPr>
          <w:rFonts w:hint="eastAsia"/>
          <w:color w:val="000000" w:themeColor="text1"/>
        </w:rPr>
        <w:t>75</w:t>
      </w:r>
      <w:r>
        <w:rPr>
          <w:rFonts w:hint="eastAsia"/>
          <w:color w:val="000000" w:themeColor="text1"/>
        </w:rPr>
        <w:t>歳以上の後期高齢者が８割強を占めています。</w:t>
      </w:r>
    </w:p>
    <w:p>
      <w:pPr>
        <w:pStyle w:val="0"/>
        <w:rPr>
          <w:rFonts w:hint="default" w:ascii="ＭＳ ゴシック" w:hAnsi="ＭＳ ゴシック" w:eastAsia="ＭＳ ゴシック"/>
        </w:rPr>
      </w:pPr>
    </w:p>
    <w:p>
      <w:pPr>
        <w:rPr>
          <w:rFonts w:hint="default" w:ascii="ＭＳ ゴシック" w:hAnsi="ＭＳ ゴシック" w:eastAsia="ＭＳ ゴシック"/>
        </w:rPr>
        <w:sectPr>
          <w:pgSz w:w="11906" w:h="16838"/>
          <w:pgMar w:top="1440" w:right="1080" w:bottom="1440" w:left="1080" w:header="851" w:footer="454" w:gutter="0"/>
          <w:cols w:space="720"/>
          <w:textDirection w:val="lrTb"/>
          <w:docGrid w:type="lines" w:linePitch="360"/>
        </w:sectPr>
      </w:pPr>
    </w:p>
    <w:p>
      <w:pPr>
        <w:pStyle w:val="44"/>
        <w:ind w:left="240" w:firstLine="240" w:firstLineChars="100"/>
        <w:rPr>
          <w:rFonts w:hint="default"/>
        </w:rPr>
      </w:pPr>
      <w:r>
        <w:rPr>
          <w:rFonts w:hint="eastAsia" w:ascii="ＭＳ ゴシック" w:hAnsi="ＭＳ ゴシック" w:eastAsia="ＭＳ ゴシック"/>
          <w:b w:val="0"/>
          <w:sz w:val="24"/>
        </w:rPr>
        <w:t>c</w:t>
      </w:r>
      <w:r>
        <w:rPr>
          <w:rFonts w:hint="eastAsia" w:ascii="ＭＳ ゴシック" w:hAnsi="ＭＳ ゴシック" w:eastAsia="ＭＳ ゴシック"/>
          <w:b w:val="0"/>
          <w:sz w:val="24"/>
        </w:rPr>
        <w:t>）認知症高齢者の見守り・支援体制の強化</w:t>
      </w:r>
      <w:r>
        <w:rPr>
          <w:rFonts w:hint="eastAsia"/>
        </w:rPr>
        <w:t>　</w:t>
      </w:r>
    </w:p>
    <w:tbl>
      <w:tblPr>
        <w:tblStyle w:val="59"/>
        <w:tblW w:w="9315" w:type="dxa"/>
        <w:tblInd w:w="421" w:type="dxa"/>
        <w:tblLayout w:type="fixed"/>
        <w:tblLook w:firstRow="1" w:lastRow="0" w:firstColumn="1" w:lastColumn="0" w:noHBand="0" w:noVBand="1" w:val="04A0"/>
      </w:tblPr>
      <w:tblGrid>
        <w:gridCol w:w="9315"/>
      </w:tblGrid>
      <w:tr>
        <w:trPr/>
        <w:tc>
          <w:tcPr>
            <w:tcW w:w="9315" w:type="dxa"/>
            <w:vAlign w:val="top"/>
          </w:tcPr>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□みのお行方不明者ＳＯＳネットの整備</w:t>
            </w:r>
          </w:p>
          <w:p>
            <w:pPr>
              <w:pStyle w:val="0"/>
              <w:autoSpaceDE w:val="0"/>
              <w:autoSpaceDN w:val="0"/>
              <w:adjustRightInd w:val="0"/>
              <w:ind w:left="240" w:left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認知症高齢者等が行方不明になった場合を想定して、警察だけでなく、地域住民や団体等が捜索に協力して、行方不明者を発見できるよう「みのお行方不明者ＳＯＳネット」を整備しています。</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w:t>
            </w:r>
            <w:r>
              <w:rPr>
                <w:rFonts w:hint="default" w:ascii="ＭＳ ゴシック" w:hAnsi="ＭＳ ゴシック" w:eastAsia="ＭＳ ゴシック"/>
                <w:color w:val="000000" w:themeColor="text1"/>
                <w:sz w:val="24"/>
              </w:rPr>
              <w:t>otta</w:t>
            </w:r>
            <w:r>
              <w:rPr>
                <w:rFonts w:hint="eastAsia" w:ascii="ＭＳ ゴシック" w:hAnsi="ＭＳ ゴシック" w:eastAsia="ＭＳ ゴシック"/>
                <w:color w:val="000000" w:themeColor="text1"/>
                <w:sz w:val="24"/>
              </w:rPr>
              <w:t>の利用促進</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color w:val="000000" w:themeColor="text1"/>
                <w:sz w:val="24"/>
              </w:rPr>
              <w:t>　</w:t>
            </w:r>
            <w:r>
              <w:rPr>
                <w:rFonts w:hint="eastAsia" w:ascii="ＭＳ 明朝" w:hAnsi="ＭＳ 明朝" w:eastAsia="ＭＳ 明朝"/>
                <w:color w:val="000000" w:themeColor="text1"/>
                <w:sz w:val="24"/>
              </w:rPr>
              <w:t>いざという時に高齢者の位置情報を確認できる</w:t>
            </w:r>
            <w:r>
              <w:rPr>
                <w:rFonts w:hint="default" w:ascii="ＭＳ 明朝" w:hAnsi="ＭＳ 明朝" w:eastAsia="ＭＳ 明朝"/>
                <w:color w:val="000000" w:themeColor="text1"/>
                <w:sz w:val="24"/>
              </w:rPr>
              <w:t>otta</w:t>
            </w:r>
            <w:r>
              <w:rPr>
                <w:rFonts w:hint="eastAsia" w:ascii="ＭＳ 明朝" w:hAnsi="ＭＳ 明朝" w:eastAsia="ＭＳ 明朝"/>
                <w:color w:val="000000" w:themeColor="text1"/>
                <w:sz w:val="24"/>
              </w:rPr>
              <w:t>の利用を促進しました。</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□認知症サポーターの養成、フォローアップ</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認知症に関する正しい知識と理解をもち、認知症の人や家族に対してできる範囲で手助けや見守りを行う「認知症サポーター」を養成し、継続して活動できるようにフォローアップ研修を開催しました。</w:t>
            </w:r>
          </w:p>
          <w:p>
            <w:pPr>
              <w:pStyle w:val="0"/>
              <w:autoSpaceDE w:val="0"/>
              <w:autoSpaceDN w:val="0"/>
              <w:adjustRightInd w:val="0"/>
              <w:ind w:left="240" w:hanging="240" w:hangingChars="10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□キャラバン・メイト養成、フォローアップ</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認知症サポーター養成講座の指導者を養成し、継続して活動できるようにフォローアップ研修を開催しました。</w:t>
            </w:r>
          </w:p>
          <w:p>
            <w:pPr>
              <w:pStyle w:val="0"/>
              <w:autoSpaceDE w:val="0"/>
              <w:autoSpaceDN w:val="0"/>
              <w:adjustRightInd w:val="0"/>
              <w:ind w:left="240" w:hanging="240" w:hangingChars="10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□認知症高齢者等への声かけ訓練</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color w:val="000000" w:themeColor="text1"/>
                <w:sz w:val="24"/>
              </w:rPr>
              <w:t>　</w:t>
            </w:r>
            <w:r>
              <w:rPr>
                <w:rFonts w:hint="eastAsia" w:ascii="ＭＳ 明朝" w:hAnsi="ＭＳ 明朝" w:eastAsia="ＭＳ 明朝"/>
                <w:color w:val="000000" w:themeColor="text1"/>
                <w:sz w:val="24"/>
              </w:rPr>
              <w:t>認知症のかたへの接し方や声かけの方法など、実践的な見守りができることを目的とした、「認知症高齢者等への声かけ訓練」を実施しました。</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□認知症カフェへの支援</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　認知症高齢者等と家族が気軽に外出できるように、認知症カフェやコミュニティカフェの定期開催を支援しました。</w:t>
            </w:r>
          </w:p>
          <w:p>
            <w:pPr>
              <w:pStyle w:val="0"/>
              <w:autoSpaceDE w:val="0"/>
              <w:autoSpaceDN w:val="0"/>
              <w:adjustRightInd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□男性介護者のつどいの開催</w:t>
            </w:r>
          </w:p>
          <w:p>
            <w:pPr>
              <w:pStyle w:val="0"/>
              <w:autoSpaceDE w:val="0"/>
              <w:autoSpaceDN w:val="0"/>
              <w:adjustRightInd w:val="0"/>
              <w:ind w:left="240" w:hanging="240" w:hangingChars="100"/>
              <w:jc w:val="both"/>
              <w:rPr>
                <w:rFonts w:hint="default" w:ascii="ＭＳ 明朝" w:hAnsi="ＭＳ 明朝" w:eastAsia="ＭＳ 明朝"/>
                <w:color w:val="000000" w:themeColor="text1"/>
                <w:sz w:val="24"/>
              </w:rPr>
            </w:pPr>
            <w:r>
              <w:rPr>
                <w:rFonts w:hint="eastAsia"/>
                <w:color w:val="000000" w:themeColor="text1"/>
                <w:sz w:val="24"/>
              </w:rPr>
              <w:t>　</w:t>
            </w:r>
            <w:r>
              <w:rPr>
                <w:rFonts w:hint="eastAsia" w:ascii="ＭＳ 明朝" w:hAnsi="ＭＳ 明朝" w:eastAsia="ＭＳ 明朝"/>
                <w:color w:val="000000" w:themeColor="text1"/>
                <w:sz w:val="24"/>
              </w:rPr>
              <w:t>男性特有の介護の問題などについて、交流会を開催し、介護者を支援しました。</w:t>
            </w:r>
          </w:p>
        </w:tc>
      </w:tr>
    </w:tbl>
    <w:p>
      <w:pPr>
        <w:pStyle w:val="0"/>
        <w:ind w:left="720" w:leftChars="100" w:hanging="480" w:hangingChars="200"/>
        <w:rPr>
          <w:rFonts w:hint="default"/>
        </w:rPr>
      </w:pPr>
    </w:p>
    <w:p>
      <w:pPr>
        <w:pStyle w:val="5"/>
        <w:ind w:left="0" w:leftChars="0" w:firstLine="240" w:firstLineChars="100"/>
        <w:rPr>
          <w:rFonts w:hint="default" w:ascii="ＭＳ ゴシック" w:hAnsi="ＭＳ ゴシック" w:eastAsia="ＭＳ ゴシック"/>
        </w:rPr>
      </w:pPr>
      <w:bookmarkStart w:id="52" w:name="_Toc59007776"/>
      <w:r>
        <w:rPr>
          <w:rFonts w:hint="eastAsia" w:ascii="ＭＳ ゴシック" w:hAnsi="ＭＳ ゴシック" w:eastAsia="ＭＳ ゴシック"/>
        </w:rPr>
        <w:t>エ）介護サービスの質の確保・向上と適正・円滑な運営</w:t>
      </w:r>
      <w:bookmarkEnd w:id="52"/>
    </w:p>
    <w:p>
      <w:pPr>
        <w:pStyle w:val="6"/>
        <w:ind w:left="0" w:leftChars="0" w:firstLine="480" w:firstLineChars="200"/>
        <w:rPr>
          <w:rFonts w:hint="default" w:ascii="ＭＳ ゴシック" w:hAnsi="ＭＳ ゴシック" w:eastAsia="ＭＳ ゴシック"/>
          <w:b w:val="0"/>
        </w:rPr>
      </w:pPr>
      <w:r>
        <w:rPr>
          <w:rFonts w:hint="eastAsia" w:ascii="ＭＳ ゴシック" w:hAnsi="ＭＳ ゴシック" w:eastAsia="ＭＳ ゴシック"/>
          <w:b w:val="0"/>
        </w:rPr>
        <w:t>a</w:t>
      </w:r>
      <w:r>
        <w:rPr>
          <w:rFonts w:hint="eastAsia" w:ascii="ＭＳ ゴシック" w:hAnsi="ＭＳ ゴシック" w:eastAsia="ＭＳ ゴシック"/>
          <w:b w:val="0"/>
        </w:rPr>
        <w:t>）介護サービスの提供</w:t>
      </w:r>
    </w:p>
    <w:p>
      <w:pPr>
        <w:pStyle w:val="0"/>
        <w:ind w:left="480" w:leftChars="200" w:firstLine="240" w:firstLineChars="100"/>
        <w:jc w:val="both"/>
        <w:rPr>
          <w:rFonts w:hint="default"/>
        </w:rPr>
      </w:pPr>
      <w:r>
        <w:rPr>
          <w:rFonts w:hint="eastAsia"/>
        </w:rPr>
        <w:t>介護サービス基盤整備にあたっては、特別養護老人ホームの入所待機者解消や介護離職</w:t>
      </w:r>
      <w:r>
        <w:rPr>
          <w:rFonts w:hint="eastAsia"/>
          <w:vertAlign w:val="superscript"/>
        </w:rPr>
        <w:t>※</w:t>
      </w:r>
      <w:r>
        <w:rPr>
          <w:rStyle w:val="42"/>
          <w:rFonts w:hint="eastAsia"/>
        </w:rPr>
        <w:footnoteReference w:id="4"/>
      </w:r>
      <w:r>
        <w:rPr>
          <w:rFonts w:hint="eastAsia"/>
        </w:rPr>
        <w:t>ゼロの施策推進のため、広域型特別養護老人ホーム（</w:t>
      </w:r>
      <w:r>
        <w:rPr>
          <w:rFonts w:hint="eastAsia"/>
        </w:rPr>
        <w:t>60</w:t>
      </w:r>
      <w:r>
        <w:rPr>
          <w:rFonts w:hint="eastAsia"/>
        </w:rPr>
        <w:t>床）の公募実施、また、併せて、地域密着型サービスについては、在宅における多様な介護・医療ニーズに対応するため、小規模多機能型居宅介護、看護小規模多機能型居宅介護の公募を継続しました。</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6"/>
        <w:ind w:left="0" w:leftChars="0" w:firstLine="480" w:firstLineChars="200"/>
        <w:rPr>
          <w:rFonts w:hint="default" w:ascii="ＭＳ ゴシック" w:hAnsi="ＭＳ ゴシック" w:eastAsia="ＭＳ ゴシック"/>
          <w:b w:val="0"/>
        </w:rPr>
      </w:pPr>
      <w:r>
        <w:rPr>
          <w:rFonts w:hint="eastAsia" w:ascii="ＭＳ ゴシック" w:hAnsi="ＭＳ ゴシック" w:eastAsia="ＭＳ ゴシック"/>
          <w:b w:val="0"/>
        </w:rPr>
        <w:t>b</w:t>
      </w:r>
      <w:r>
        <w:rPr>
          <w:rFonts w:hint="eastAsia" w:ascii="ＭＳ ゴシック" w:hAnsi="ＭＳ ゴシック" w:eastAsia="ＭＳ ゴシック"/>
          <w:b w:val="0"/>
        </w:rPr>
        <w:t>）介護サービスの基盤の充実と質の確保・向上</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①介護サービス提供事業者等への指導監査</w:t>
      </w:r>
    </w:p>
    <w:p>
      <w:pPr>
        <w:pStyle w:val="0"/>
        <w:ind w:left="480" w:leftChars="200" w:firstLine="240" w:firstLineChars="100"/>
        <w:jc w:val="both"/>
        <w:rPr>
          <w:rFonts w:hint="default"/>
        </w:rPr>
      </w:pPr>
      <w:r>
        <w:rPr>
          <w:rFonts w:hint="eastAsia"/>
        </w:rPr>
        <w:t>事業者に対し、日常的な助言・指導に加え、集団指導や指定有効期間（</w:t>
      </w:r>
      <w:r>
        <w:rPr>
          <w:rFonts w:hint="eastAsia"/>
        </w:rPr>
        <w:t>6</w:t>
      </w:r>
      <w:r>
        <w:rPr>
          <w:rFonts w:hint="eastAsia"/>
        </w:rPr>
        <w:t>年）内に１回の割合で実施することを目標としている実地指導を通じて、適切に指導監査を行いました。</w:t>
      </w:r>
    </w:p>
    <w:p>
      <w:pPr>
        <w:pStyle w:val="0"/>
        <w:ind w:left="480" w:leftChars="200" w:firstLine="240" w:firstLineChars="100"/>
        <w:jc w:val="both"/>
        <w:rPr>
          <w:rFonts w:hint="default"/>
        </w:rPr>
      </w:pPr>
      <w:r>
        <w:rPr>
          <w:rFonts w:hint="eastAsia"/>
        </w:rPr>
        <w:t>実地指導では、各事業所における利用者の生活実態、サービス提供状況、報酬基準の適合状況等を直接確認しながら事業者の気づきを促すなど、よりよいケアの実現に努めました。</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②介護人材の確保</w:t>
      </w:r>
    </w:p>
    <w:p>
      <w:pPr>
        <w:pStyle w:val="0"/>
        <w:ind w:left="480" w:leftChars="100" w:hanging="240" w:hangingChars="100"/>
        <w:jc w:val="both"/>
        <w:rPr>
          <w:rFonts w:hint="default"/>
        </w:rPr>
      </w:pPr>
      <w:r>
        <w:rPr>
          <w:rFonts w:hint="eastAsia"/>
        </w:rPr>
        <w:t>　　総合事業の訪問型サービスの担い手を増やすため、身体介護を必要としないかたの生活援助を行う生活支援サポーターを養成することにより、介護サービスに従事するヘルパーや介護士などの人材確保に努めました。</w:t>
      </w:r>
    </w:p>
    <w:p>
      <w:pPr>
        <w:pStyle w:val="0"/>
        <w:jc w:val="both"/>
        <w:rPr>
          <w:rFonts w:hint="default" w:ascii="ＭＳ ゴシック" w:hAnsi="ＭＳ ゴシック" w:eastAsia="ＭＳ ゴシック"/>
        </w:rPr>
      </w:pPr>
    </w:p>
    <w:p>
      <w:pPr>
        <w:pStyle w:val="6"/>
        <w:ind w:left="0" w:leftChars="0" w:firstLine="480" w:firstLineChars="200"/>
        <w:jc w:val="both"/>
        <w:rPr>
          <w:rFonts w:hint="default" w:ascii="ＭＳ ゴシック" w:hAnsi="ＭＳ ゴシック" w:eastAsia="ＭＳ ゴシック"/>
          <w:b w:val="0"/>
        </w:rPr>
      </w:pPr>
      <w:r>
        <w:rPr>
          <w:rFonts w:hint="default" w:ascii="ＭＳ ゴシック" w:hAnsi="ＭＳ ゴシック" w:eastAsia="ＭＳ ゴシック"/>
          <w:b w:val="0"/>
        </w:rPr>
        <w:t>c</w:t>
      </w:r>
      <w:r>
        <w:rPr>
          <w:rFonts w:hint="eastAsia" w:ascii="ＭＳ ゴシック" w:hAnsi="ＭＳ ゴシック" w:eastAsia="ＭＳ ゴシック"/>
          <w:b w:val="0"/>
        </w:rPr>
        <w:t>）相談支援体制</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①相談体制の充実</w:t>
      </w:r>
    </w:p>
    <w:p>
      <w:pPr>
        <w:pStyle w:val="0"/>
        <w:ind w:left="480" w:leftChars="100" w:hanging="240" w:hangingChars="100"/>
        <w:jc w:val="both"/>
        <w:rPr>
          <w:rFonts w:hint="default"/>
        </w:rPr>
      </w:pPr>
      <w:r>
        <w:rPr>
          <w:rFonts w:hint="eastAsia"/>
        </w:rPr>
        <w:t>　　６つのモデル校区に「ささえあいステーション」を設置し、全市民を対象とした困りごとの相談等を受け付け、気軽に身近に相談できる体制の充実を図りました。</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②高齢者等利用者にとってわかりやすい情報の提供</w:t>
      </w:r>
    </w:p>
    <w:p>
      <w:pPr>
        <w:pStyle w:val="0"/>
        <w:ind w:left="480" w:leftChars="200" w:firstLine="240" w:firstLineChars="100"/>
        <w:jc w:val="both"/>
        <w:rPr>
          <w:rFonts w:hint="default"/>
        </w:rPr>
      </w:pPr>
      <w:r>
        <w:rPr>
          <w:rFonts w:hint="eastAsia"/>
        </w:rPr>
        <w:t>介護保険制度や介護保険サービスについて必要なかたが利用しやすいように、「高齢者福祉サービスのご案内」冊子を更新し、情報のバリアフリー化を図りました。そのほか、ケアマネジャーやサービス事業者に対しては、国・府等からの通知を含め、必要な情報を速やかに提供できるように努めました。</w:t>
      </w:r>
    </w:p>
    <w:p>
      <w:pPr>
        <w:pStyle w:val="0"/>
        <w:jc w:val="both"/>
        <w:rPr>
          <w:rFonts w:hint="default" w:ascii="ＭＳ ゴシック" w:hAnsi="ＭＳ ゴシック" w:eastAsia="ＭＳ ゴシック"/>
        </w:rPr>
      </w:pPr>
    </w:p>
    <w:p>
      <w:pPr>
        <w:pStyle w:val="6"/>
        <w:ind w:left="0" w:leftChars="0" w:firstLine="480" w:firstLineChars="200"/>
        <w:jc w:val="both"/>
        <w:rPr>
          <w:rFonts w:hint="default" w:ascii="ＭＳ ゴシック" w:hAnsi="ＭＳ ゴシック" w:eastAsia="ＭＳ ゴシック"/>
          <w:b w:val="0"/>
        </w:rPr>
      </w:pPr>
      <w:r>
        <w:rPr>
          <w:rFonts w:hint="eastAsia" w:ascii="ＭＳ ゴシック" w:hAnsi="ＭＳ ゴシック" w:eastAsia="ＭＳ ゴシック"/>
          <w:b w:val="0"/>
        </w:rPr>
        <w:t>d</w:t>
      </w:r>
      <w:r>
        <w:rPr>
          <w:rFonts w:hint="eastAsia" w:ascii="ＭＳ ゴシック" w:hAnsi="ＭＳ ゴシック" w:eastAsia="ＭＳ ゴシック"/>
          <w:b w:val="0"/>
        </w:rPr>
        <w:t>）介護保険事業の適正かつ円滑な運営</w:t>
      </w: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①適正な要介護認定の実施</w:t>
      </w:r>
    </w:p>
    <w:p>
      <w:pPr>
        <w:pStyle w:val="0"/>
        <w:ind w:left="960" w:leftChars="300" w:hanging="240" w:hangingChars="100"/>
        <w:jc w:val="both"/>
        <w:rPr>
          <w:rFonts w:hint="default"/>
        </w:rPr>
      </w:pPr>
      <w:r>
        <w:rPr>
          <w:rFonts w:hint="eastAsia"/>
        </w:rPr>
        <w:t>○　介護認定審査会の審査前には、市職員が認定調査結果や主治医意見書の点検を行うとともに、必要に応じ調査員への疑義照会や主治医への意見照会を実施して、審査・判定の適正性確保に努めました。また、認定調査員及び介護認定審査会委員の判定技能の向上を図るための研修を実施しました。</w:t>
      </w:r>
    </w:p>
    <w:p>
      <w:pPr>
        <w:pStyle w:val="0"/>
        <w:ind w:left="960" w:leftChars="300" w:hanging="240" w:hangingChars="100"/>
        <w:jc w:val="both"/>
        <w:rPr>
          <w:rFonts w:hint="default"/>
        </w:rPr>
      </w:pPr>
      <w:r>
        <w:rPr>
          <w:rFonts w:hint="eastAsia"/>
        </w:rPr>
        <w:t>○　認定調査、介護認定審査会においては、障害等の特記事項を審査・判定に適切に反映させました。</w:t>
      </w:r>
    </w:p>
    <w:p>
      <w:pPr>
        <w:pStyle w:val="0"/>
        <w:ind w:left="960" w:leftChars="300" w:hanging="240" w:hangingChars="100"/>
        <w:jc w:val="both"/>
        <w:rPr>
          <w:rFonts w:hint="default"/>
        </w:rPr>
      </w:pPr>
      <w:r>
        <w:rPr>
          <w:rFonts w:hint="eastAsia"/>
        </w:rPr>
        <w:t>○　認定調査においては、障害者や外国人等のコミュニケーション支援が必要なかたについて、手話通訳、筆談、多言語通訳等の配慮を行い、より正確な心身状況の把握に努めました。</w:t>
      </w:r>
    </w:p>
    <w:p>
      <w:pPr>
        <w:pStyle w:val="0"/>
        <w:ind w:left="960" w:leftChars="300" w:right="-34" w:rightChars="-14" w:hanging="240" w:hangingChars="100"/>
        <w:jc w:val="both"/>
        <w:rPr>
          <w:rFonts w:hint="default"/>
        </w:rPr>
      </w:pPr>
      <w:r>
        <w:rPr>
          <w:rFonts w:hint="eastAsia"/>
        </w:rPr>
        <w:t>○　要介護認定等の申請件数の増減に対応して介護認定審査会の開催回数を調整し、円滑な要介護認定の実施に努めました。</w:t>
      </w:r>
    </w:p>
    <w:p>
      <w:pPr>
        <w:pStyle w:val="0"/>
        <w:jc w:val="both"/>
        <w:rPr>
          <w:rFonts w:hint="default"/>
        </w:rPr>
      </w:pPr>
    </w:p>
    <w:p>
      <w:pPr>
        <w:pStyle w:val="7"/>
        <w:ind w:left="0" w:leftChars="0" w:firstLine="480" w:firstLineChars="200"/>
        <w:jc w:val="both"/>
        <w:rPr>
          <w:rFonts w:hint="default" w:ascii="ＭＳ ゴシック" w:hAnsi="ＭＳ ゴシック" w:eastAsia="ＭＳ ゴシック"/>
        </w:rPr>
      </w:pPr>
      <w:r>
        <w:rPr>
          <w:rFonts w:hint="eastAsia" w:ascii="ＭＳ ゴシック" w:hAnsi="ＭＳ ゴシック" w:eastAsia="ＭＳ ゴシック"/>
        </w:rPr>
        <w:t>②介護給付適正化事業の推進</w:t>
      </w:r>
    </w:p>
    <w:p>
      <w:pPr>
        <w:pStyle w:val="0"/>
        <w:ind w:left="480" w:leftChars="200" w:firstLine="240" w:firstLineChars="100"/>
        <w:jc w:val="both"/>
        <w:rPr>
          <w:rFonts w:hint="default"/>
        </w:rPr>
      </w:pPr>
      <w:r>
        <w:rPr>
          <w:rFonts w:hint="eastAsia"/>
        </w:rPr>
        <w:t>「第４期（</w:t>
      </w:r>
      <w:r>
        <w:rPr>
          <w:rFonts w:hint="eastAsia"/>
        </w:rPr>
        <w:t>2018</w:t>
      </w:r>
      <w:r>
        <w:rPr>
          <w:rFonts w:hint="eastAsia"/>
        </w:rPr>
        <w:t>年度</w:t>
      </w:r>
      <w:r>
        <w:rPr>
          <w:rFonts w:hint="default"/>
        </w:rPr>
        <w:t>～</w:t>
      </w:r>
      <w:r>
        <w:rPr>
          <w:rFonts w:hint="eastAsia"/>
        </w:rPr>
        <w:t>2020</w:t>
      </w:r>
      <w:r>
        <w:rPr>
          <w:rFonts w:hint="default"/>
        </w:rPr>
        <w:t>年度）大阪府介護給付適正化計画」に定められた主要８事業（認定訪問調査の点検、ケアプランチェック、住宅改修の適正化、福祉用具購入・貸与調査、医療情報との突合、縦覧点検、介護給付費通知、給付実績の活用）について、介護給付の適正化に取り組みました。</w:t>
      </w:r>
    </w:p>
    <w:p>
      <w:pPr>
        <w:pStyle w:val="0"/>
        <w:rPr>
          <w:rFonts w:hint="default" w:ascii="ＭＳ ゴシック" w:hAnsi="ＭＳ ゴシック" w:eastAsia="ＭＳ ゴシック"/>
        </w:rPr>
      </w:pPr>
    </w:p>
    <w:p>
      <w:pPr>
        <w:pStyle w:val="0"/>
        <w:ind w:firstLine="480" w:firstLineChars="200"/>
        <w:rPr>
          <w:rFonts w:hint="default" w:ascii="ＭＳ ゴシック" w:hAnsi="ＭＳ ゴシック" w:eastAsia="ＭＳ ゴシック"/>
        </w:rPr>
      </w:pPr>
      <w:r>
        <w:rPr>
          <w:rFonts w:hint="eastAsia" w:ascii="ＭＳ ゴシック" w:hAnsi="ＭＳ ゴシック" w:eastAsia="ＭＳ ゴシック"/>
        </w:rPr>
        <w:t>■介護給付適正化の取組内容</w:t>
      </w:r>
    </w:p>
    <w:tbl>
      <w:tblPr>
        <w:tblStyle w:val="59"/>
        <w:tblW w:w="9174" w:type="dxa"/>
        <w:tblInd w:w="562" w:type="dxa"/>
        <w:tblLayout w:type="fixed"/>
        <w:tblLook w:firstRow="1" w:lastRow="0" w:firstColumn="1" w:lastColumn="0" w:noHBand="0" w:noVBand="1" w:val="04A0"/>
      </w:tblPr>
      <w:tblGrid>
        <w:gridCol w:w="9174"/>
      </w:tblGrid>
      <w:tr>
        <w:trPr/>
        <w:tc>
          <w:tcPr>
            <w:tcW w:w="9174" w:type="dxa"/>
            <w:vAlign w:val="top"/>
          </w:tcPr>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□認定調査の点検</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認定審査会の審査前資料において、不整合や記述内容の疑義等の確認を行いました。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□ケアプランチェック</w:t>
            </w:r>
          </w:p>
          <w:p>
            <w:pPr>
              <w:pStyle w:val="0"/>
              <w:autoSpaceDE w:val="0"/>
              <w:autoSpaceDN w:val="0"/>
              <w:adjustRightInd w:val="0"/>
              <w:ind w:left="240" w:leftChars="100"/>
              <w:jc w:val="both"/>
              <w:rPr>
                <w:rFonts w:hint="default" w:ascii="ＭＳ 明朝" w:hAnsi="ＭＳ 明朝" w:eastAsia="ＭＳ 明朝"/>
                <w:sz w:val="24"/>
              </w:rPr>
            </w:pPr>
            <w:r>
              <w:rPr>
                <w:rFonts w:hint="eastAsia" w:ascii="ＭＳ 明朝" w:hAnsi="ＭＳ 明朝" w:eastAsia="ＭＳ 明朝"/>
                <w:sz w:val="24"/>
              </w:rPr>
              <w:t>市給付担当部署、地域包括支援センターが中心となり、ケアプランが利用者の自立につながる真に必要なサービスの位置づけがされているか確認しました。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□住宅改修の適正化</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①サービス利用者から提出された住宅改修費支給申請書の市における審査の際に、リハビリテーション専門職（必要に応じて建築専門職）により点検を行いました。</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②住宅改修工事の事前または事後に、リハビリテーション専門職による現地調査等の確認を行いました。また、病院や介護事業者などの他機関のリハビリテーション専門職とも連携し住宅改修の適正化に努めました。　</w:t>
            </w:r>
          </w:p>
          <w:p>
            <w:pPr>
              <w:pStyle w:val="0"/>
              <w:autoSpaceDE w:val="0"/>
              <w:autoSpaceDN w:val="0"/>
              <w:adjustRightInd w:val="0"/>
              <w:jc w:val="both"/>
              <w:rPr>
                <w:rFonts w:hint="default" w:ascii="ＭＳ 明朝" w:hAnsi="ＭＳ 明朝" w:eastAsia="ＭＳ 明朝"/>
                <w:sz w:val="24"/>
              </w:rPr>
            </w:pPr>
            <w:r>
              <w:rPr>
                <w:rFonts w:hint="eastAsia" w:ascii="ＭＳ ゴシック" w:hAnsi="ＭＳ ゴシック" w:eastAsia="ＭＳ ゴシック"/>
                <w:sz w:val="24"/>
              </w:rPr>
              <w:t>□福祉用具購入・貸与調査</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①福祉用具の選択や使用方法について、リハビリテーション専門職が訪問指導を行い、地域ケア会議の際に福祉用具購入の点検並びに福祉用具貸与計画も合わせて点検を行い、適正な利用を助言しました。</w:t>
            </w:r>
          </w:p>
          <w:p>
            <w:pPr>
              <w:pStyle w:val="0"/>
              <w:autoSpaceDE w:val="0"/>
              <w:autoSpaceDN w:val="0"/>
              <w:adjustRightInd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②貸与開始後、用具が適切に利用されているか否かをリハビリテーション専門職が貸与利用者の内から無作為に抽出し点検しました。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□医療情報との突合</w:t>
            </w:r>
          </w:p>
          <w:p>
            <w:pPr>
              <w:pStyle w:val="0"/>
              <w:autoSpaceDE w:val="0"/>
              <w:autoSpaceDN w:val="0"/>
              <w:adjustRightInd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医療情報との突合リストにより、給付状況を確認しました。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□縦覧点検</w:t>
            </w:r>
          </w:p>
          <w:p>
            <w:pPr>
              <w:pStyle w:val="0"/>
              <w:autoSpaceDE w:val="0"/>
              <w:autoSpaceDN w:val="0"/>
              <w:adjustRightInd w:val="0"/>
              <w:jc w:val="both"/>
              <w:rPr>
                <w:rFonts w:hint="default" w:ascii="ＭＳ 明朝" w:hAnsi="ＭＳ 明朝" w:eastAsia="ＭＳ 明朝"/>
                <w:sz w:val="24"/>
              </w:rPr>
            </w:pPr>
            <w:r>
              <w:rPr>
                <w:rFonts w:hint="eastAsia" w:ascii="ＭＳ 明朝" w:hAnsi="ＭＳ 明朝" w:eastAsia="ＭＳ 明朝"/>
                <w:sz w:val="24"/>
              </w:rPr>
              <w:t>　縦覧点検一覧表により、重複請求などの疑義等の確認を行いました。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□介護給付費通知</w:t>
            </w:r>
          </w:p>
          <w:p>
            <w:pPr>
              <w:pStyle w:val="0"/>
              <w:autoSpaceDE w:val="0"/>
              <w:autoSpaceDN w:val="0"/>
              <w:adjustRightInd w:val="0"/>
              <w:jc w:val="both"/>
              <w:rPr>
                <w:rFonts w:hint="default" w:ascii="ＭＳ 明朝" w:hAnsi="ＭＳ 明朝" w:eastAsia="ＭＳ 明朝"/>
                <w:sz w:val="24"/>
              </w:rPr>
            </w:pPr>
            <w:r>
              <w:rPr>
                <w:rFonts w:hint="eastAsia" w:ascii="ＭＳ 明朝" w:hAnsi="ＭＳ 明朝" w:eastAsia="ＭＳ 明朝"/>
                <w:sz w:val="24"/>
              </w:rPr>
              <w:t>　介護保険サービス利用者へ利用実績を通知しました。</w:t>
            </w:r>
          </w:p>
          <w:p>
            <w:pPr>
              <w:pStyle w:val="0"/>
              <w:autoSpaceDE w:val="0"/>
              <w:autoSpaceDN w:val="0"/>
              <w:adjustRightInd w:val="0"/>
              <w:jc w:val="both"/>
              <w:rPr>
                <w:rFonts w:hint="default" w:ascii="ＭＳ ゴシック" w:hAnsi="ＭＳ ゴシック" w:eastAsia="ＭＳ ゴシック"/>
                <w:sz w:val="24"/>
              </w:rPr>
            </w:pPr>
            <w:r>
              <w:rPr>
                <w:rFonts w:hint="eastAsia" w:ascii="ＭＳ ゴシック" w:hAnsi="ＭＳ ゴシック" w:eastAsia="ＭＳ ゴシック"/>
                <w:sz w:val="24"/>
              </w:rPr>
              <w:t>□給付実績の活用</w:t>
            </w:r>
          </w:p>
          <w:p>
            <w:pPr>
              <w:pStyle w:val="0"/>
              <w:autoSpaceDE w:val="0"/>
              <w:autoSpaceDN w:val="0"/>
              <w:adjustRightInd w:val="0"/>
              <w:ind w:left="240" w:hanging="240" w:hangingChars="100"/>
              <w:jc w:val="both"/>
              <w:rPr>
                <w:rFonts w:hint="default" w:ascii="ＭＳ 明朝" w:hAnsi="ＭＳ 明朝" w:eastAsia="ＭＳ 明朝"/>
                <w:sz w:val="24"/>
              </w:rPr>
            </w:pPr>
            <w:r>
              <w:rPr>
                <w:rFonts w:hint="eastAsia" w:ascii="ＭＳ 明朝" w:hAnsi="ＭＳ 明朝" w:eastAsia="ＭＳ 明朝"/>
                <w:sz w:val="24"/>
              </w:rPr>
              <w:t>　ケアプランチェックと並行し、給付実績等の情報を活用して、不適正な給付がないか確認しました。</w:t>
            </w:r>
          </w:p>
        </w:tc>
      </w:tr>
    </w:tbl>
    <w:p>
      <w:pPr>
        <w:pStyle w:val="0"/>
        <w:rPr>
          <w:rFonts w:hint="default"/>
        </w:rPr>
      </w:pPr>
    </w:p>
    <w:p>
      <w:pPr>
        <w:pStyle w:val="5"/>
        <w:ind w:left="0" w:leftChars="0" w:firstLine="240" w:firstLineChars="100"/>
        <w:rPr>
          <w:rFonts w:hint="default" w:ascii="ＭＳ ゴシック" w:hAnsi="ＭＳ ゴシック" w:eastAsia="ＭＳ ゴシック"/>
        </w:rPr>
      </w:pPr>
      <w:bookmarkStart w:id="53" w:name="_Toc59007777"/>
      <w:r>
        <w:rPr>
          <w:rFonts w:hint="eastAsia" w:ascii="ＭＳ ゴシック" w:hAnsi="ＭＳ ゴシック" w:eastAsia="ＭＳ ゴシック"/>
        </w:rPr>
        <w:t>オ）安全・安心のまちづくりの推進</w:t>
      </w:r>
      <w:bookmarkEnd w:id="53"/>
    </w:p>
    <w:p>
      <w:pPr>
        <w:pStyle w:val="6"/>
        <w:ind w:left="0" w:leftChars="0" w:firstLine="480" w:firstLineChars="200"/>
        <w:jc w:val="both"/>
        <w:rPr>
          <w:rFonts w:hint="default" w:ascii="ＭＳ ゴシック" w:hAnsi="ＭＳ ゴシック" w:eastAsia="ＭＳ ゴシック"/>
          <w:b w:val="0"/>
        </w:rPr>
      </w:pPr>
      <w:r>
        <w:rPr>
          <w:rFonts w:hint="default" w:ascii="ＭＳ ゴシック" w:hAnsi="ＭＳ ゴシック" w:eastAsia="ＭＳ ゴシック"/>
          <w:b w:val="0"/>
        </w:rPr>
        <w:t>a</w:t>
      </w:r>
      <w:r>
        <w:rPr>
          <w:rFonts w:hint="eastAsia" w:ascii="ＭＳ ゴシック" w:hAnsi="ＭＳ ゴシック" w:eastAsia="ＭＳ ゴシック"/>
          <w:b w:val="0"/>
        </w:rPr>
        <w:t>）福祉のまちづくりの推進・高齢者の住環境の整備</w:t>
      </w:r>
    </w:p>
    <w:p>
      <w:pPr>
        <w:pStyle w:val="0"/>
        <w:ind w:left="480" w:leftChars="200" w:firstLine="240" w:firstLineChars="100"/>
        <w:jc w:val="both"/>
        <w:rPr>
          <w:rFonts w:hint="default"/>
        </w:rPr>
      </w:pPr>
      <w:r>
        <w:rPr>
          <w:rFonts w:hint="eastAsia"/>
        </w:rPr>
        <w:t>高齢者の閉じこもりを防止し、自立と社会参加・交流を促進するため、オレンジゆずるバスやオレンジゆずるタクシー等による市内移動の充実等により、地域におけるバリアフリー交通網の整備に努めました。</w:t>
      </w:r>
    </w:p>
    <w:p>
      <w:pPr>
        <w:pStyle w:val="0"/>
        <w:ind w:left="480" w:hanging="480" w:hangingChars="200"/>
        <w:jc w:val="both"/>
        <w:rPr>
          <w:rFonts w:hint="default"/>
        </w:rPr>
      </w:pPr>
      <w:r>
        <w:rPr>
          <w:rFonts w:hint="eastAsia"/>
        </w:rPr>
        <w:t>　　　また、民間住宅等については、介護保険制度の住宅改修を活用し、高齢者や介護者のニーズに応じた、住宅のバリアフリー化を支援しました。</w:t>
      </w:r>
    </w:p>
    <w:p>
      <w:pPr>
        <w:pStyle w:val="0"/>
        <w:rPr>
          <w:rFonts w:hint="default" w:ascii="ＭＳ ゴシック" w:hAnsi="ＭＳ ゴシック" w:eastAsia="ＭＳ ゴシック"/>
        </w:rPr>
      </w:pPr>
    </w:p>
    <w:p>
      <w:pPr>
        <w:pStyle w:val="6"/>
        <w:ind w:left="0" w:leftChars="0" w:firstLine="480" w:firstLineChars="200"/>
        <w:rPr>
          <w:rFonts w:hint="default" w:ascii="ＭＳ ゴシック" w:hAnsi="ＭＳ ゴシック" w:eastAsia="ＭＳ ゴシック"/>
          <w:b w:val="0"/>
        </w:rPr>
      </w:pPr>
      <w:r>
        <w:rPr>
          <w:rFonts w:hint="default" w:ascii="ＭＳ ゴシック" w:hAnsi="ＭＳ ゴシック" w:eastAsia="ＭＳ ゴシック"/>
          <w:b w:val="0"/>
        </w:rPr>
        <w:t>b</w:t>
      </w:r>
      <w:r>
        <w:rPr>
          <w:rFonts w:hint="eastAsia" w:ascii="ＭＳ ゴシック" w:hAnsi="ＭＳ ゴシック" w:eastAsia="ＭＳ ゴシック"/>
          <w:b w:val="0"/>
        </w:rPr>
        <w:t>）災害時等における高齢者支援体制の確立</w:t>
      </w:r>
    </w:p>
    <w:p>
      <w:pPr>
        <w:pStyle w:val="0"/>
        <w:ind w:left="480" w:leftChars="200" w:firstLine="240" w:firstLineChars="100"/>
        <w:jc w:val="both"/>
        <w:rPr>
          <w:rFonts w:hint="default"/>
        </w:rPr>
      </w:pPr>
      <w:r>
        <w:rPr>
          <w:rFonts w:hint="eastAsia"/>
        </w:rPr>
        <w:t>避難行動要支援者名簿を作成し、地域の民生委員・児童委員等に配布することで、平時から見守りを通じて災害時要援護者を把握するなど、災害時に迅速な安否確認を行うことができるよう支援体制の構築に努めました。また、医療的ケアの必要な独居高齢者等を対象とした要継続支援者名簿、個別支援計画の策定により、個別状況をふまえた支援体制の構築を進め、平成</w:t>
      </w:r>
      <w:r>
        <w:rPr>
          <w:rFonts w:hint="eastAsia"/>
        </w:rPr>
        <w:t>30</w:t>
      </w:r>
      <w:r>
        <w:rPr>
          <w:rFonts w:hint="eastAsia"/>
        </w:rPr>
        <w:t>年</w:t>
      </w:r>
      <w:r>
        <w:rPr>
          <w:rFonts w:hint="eastAsia"/>
        </w:rPr>
        <w:t>(2018</w:t>
      </w:r>
      <w:r>
        <w:rPr>
          <w:rFonts w:hint="eastAsia"/>
        </w:rPr>
        <w:t>年</w:t>
      </w:r>
      <w:r>
        <w:rPr>
          <w:rFonts w:hint="eastAsia"/>
        </w:rPr>
        <w:t>)</w:t>
      </w:r>
      <w:r>
        <w:rPr>
          <w:rFonts w:hint="eastAsia"/>
        </w:rPr>
        <w:t>６月の大阪北部地震発災時には、要継続支援者名簿をもとに安否確認を実施しました。</w:t>
      </w:r>
    </w:p>
    <w:p>
      <w:pPr>
        <w:pStyle w:val="0"/>
        <w:ind w:left="480" w:leftChars="200" w:firstLine="240" w:firstLineChars="100"/>
        <w:jc w:val="both"/>
        <w:rPr>
          <w:rFonts w:hint="default"/>
        </w:rPr>
      </w:pPr>
      <w:r>
        <w:rPr>
          <w:rFonts w:hint="eastAsia"/>
        </w:rPr>
        <w:t>そのほか、災害発生時における福祉避難所の設置運営に関する協定を締結するとともに、引き継ぎ、全市一斉総合防災訓練に併せて、介護サービス事業者情報連携訓練を実施しました。</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54" w:name="_Toc59007778"/>
      <w:r>
        <w:rPr>
          <w:rFonts w:hint="eastAsia" w:ascii="メイリオ" w:hAnsi="メイリオ" w:eastAsia="メイリオ"/>
          <w:b w:val="1"/>
          <w:sz w:val="32"/>
          <w:u w:val="single" w:color="auto"/>
        </w:rPr>
        <w:t>４．課題の整理</w:t>
      </w:r>
      <w:bookmarkEnd w:id="54"/>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高齢者や家族介護者、事業者の意識・実態とともに、第７期計画の主な進捗状況などをふまえ、国や大阪府が示した本計画策定に関する指針などに沿って、本市の高齢者施策等に関する今後の課題を整理します。</w:t>
      </w:r>
    </w:p>
    <w:p>
      <w:pPr>
        <w:pStyle w:val="0"/>
        <w:jc w:val="both"/>
        <w:rPr>
          <w:rFonts w:hint="default"/>
        </w:rPr>
      </w:pPr>
    </w:p>
    <w:p>
      <w:pPr>
        <w:pStyle w:val="4"/>
        <w:ind w:left="39" w:leftChars="-99" w:hanging="277" w:hangingChars="99"/>
        <w:jc w:val="both"/>
        <w:rPr>
          <w:rFonts w:hint="default" w:ascii="メイリオ" w:hAnsi="メイリオ" w:eastAsia="メイリオ"/>
          <w:b w:val="0"/>
          <w:sz w:val="28"/>
          <w:highlight w:val="yellow"/>
        </w:rPr>
      </w:pPr>
      <w:bookmarkStart w:id="55" w:name="_Toc59007779"/>
      <w:r>
        <w:rPr>
          <w:rFonts w:hint="eastAsia" w:ascii="メイリオ" w:hAnsi="メイリオ" w:eastAsia="メイリオ"/>
          <w:b w:val="0"/>
          <w:sz w:val="28"/>
        </w:rPr>
        <w:t>（１）総合事業や生活支援サービスの充実について</w:t>
      </w:r>
      <w:bookmarkEnd w:id="55"/>
    </w:p>
    <w:p>
      <w:pPr>
        <w:pStyle w:val="0"/>
        <w:ind w:left="240" w:hanging="240" w:hangingChars="100"/>
        <w:jc w:val="both"/>
        <w:rPr>
          <w:rFonts w:hint="default" w:ascii="ＭＳ ゴシック" w:hAnsi="ＭＳ ゴシック" w:eastAsia="ＭＳ ゴシック"/>
        </w:rPr>
      </w:pPr>
      <w:r>
        <w:rPr>
          <w:rFonts w:hint="eastAsia"/>
        </w:rPr>
        <w:t>○　総合事業の推進により、介護予防ケアマネジメントに基づく自立支援に向けたサービス利用を促進するためには、総合事業の制度や考えかたについて、継続して周知を行うことが必要です。</w:t>
      </w:r>
    </w:p>
    <w:p>
      <w:pPr>
        <w:pStyle w:val="0"/>
        <w:ind w:left="240" w:hanging="240" w:hangingChars="100"/>
        <w:jc w:val="both"/>
        <w:rPr>
          <w:rFonts w:hint="default" w:ascii="ＭＳ ゴシック" w:hAnsi="ＭＳ ゴシック" w:eastAsia="ＭＳ ゴシック"/>
        </w:rPr>
      </w:pPr>
      <w:r>
        <w:rPr>
          <w:rFonts w:hint="eastAsia"/>
        </w:rPr>
        <w:t>○　また、高齢者の幅広いニーズをふまえ、地域住民、ボランティア団体、ＮＰＯ、民間企業など多様な主体の参画による、多様なサービス提供体制づくりが求められています。</w:t>
      </w:r>
    </w:p>
    <w:p>
      <w:pPr>
        <w:pStyle w:val="0"/>
        <w:ind w:left="240" w:hanging="240" w:hangingChars="100"/>
        <w:jc w:val="both"/>
        <w:rPr>
          <w:rFonts w:hint="default" w:ascii="ＭＳ ゴシック" w:hAnsi="ＭＳ ゴシック" w:eastAsia="ＭＳ ゴシック"/>
        </w:rPr>
      </w:pPr>
      <w:r>
        <w:rPr>
          <w:rFonts w:hint="eastAsia"/>
        </w:rPr>
        <w:t>○　特に、高齢者によるボランティア活動や就労的活動などの社会参加を促進することは、地域の支え合い体制づくりだけでなく、高齢者の生きがいや介護予防の観点からも重要です。</w:t>
      </w:r>
    </w:p>
    <w:p>
      <w:pPr>
        <w:pStyle w:val="0"/>
        <w:ind w:left="240" w:hanging="240" w:hangingChars="100"/>
        <w:jc w:val="both"/>
        <w:rPr>
          <w:rFonts w:hint="default"/>
        </w:rPr>
      </w:pPr>
      <w:r>
        <w:rPr>
          <w:rFonts w:hint="eastAsia"/>
        </w:rPr>
        <w:t>○　多様な生活支援のニーズに対して、すでにあるサービスで提供できない部分を補えるようなサービスを創設する仕組みづくりが必要です。</w:t>
      </w:r>
    </w:p>
    <w:p>
      <w:pPr>
        <w:pStyle w:val="0"/>
        <w:ind w:left="240" w:hanging="240" w:hangingChars="100"/>
        <w:jc w:val="both"/>
        <w:rPr>
          <w:rFonts w:hint="default"/>
        </w:rPr>
      </w:pPr>
      <w:r>
        <w:rPr>
          <w:rFonts w:hint="eastAsia"/>
        </w:rPr>
        <w:t>○　日常生活支援を提供する様々な支援機関が連携・協働し、地域での支え合い・助け合いが活発になるよう支援していくことが必要です。</w:t>
      </w:r>
    </w:p>
    <w:p>
      <w:pPr>
        <w:pStyle w:val="0"/>
        <w:ind w:left="240" w:hanging="240" w:hangingChars="100"/>
        <w:jc w:val="both"/>
        <w:rPr>
          <w:rFonts w:hint="default"/>
        </w:rPr>
      </w:pPr>
      <w:r>
        <w:rPr>
          <w:rFonts w:hint="eastAsia"/>
        </w:rPr>
        <w:t>○　地域共生社会の実現に向けて、住民が主体的に地域課題を把握して解決を試みる体制づくり（「我が事の地域づくり」）が必要です。</w:t>
      </w:r>
    </w:p>
    <w:p>
      <w:pPr>
        <w:pStyle w:val="0"/>
        <w:rPr>
          <w:rFonts w:hint="default"/>
        </w:rPr>
      </w:pPr>
    </w:p>
    <w:p>
      <w:pPr>
        <w:pStyle w:val="4"/>
        <w:ind w:left="39" w:leftChars="-99" w:hanging="277" w:hangingChars="99"/>
        <w:rPr>
          <w:rFonts w:hint="default" w:ascii="メイリオ" w:hAnsi="メイリオ" w:eastAsia="メイリオ"/>
          <w:b w:val="0"/>
          <w:sz w:val="28"/>
        </w:rPr>
      </w:pPr>
      <w:bookmarkStart w:id="56" w:name="_Toc59007780"/>
      <w:r>
        <w:rPr>
          <w:rFonts w:hint="eastAsia" w:ascii="メイリオ" w:hAnsi="メイリオ" w:eastAsia="メイリオ"/>
          <w:b w:val="0"/>
          <w:sz w:val="28"/>
        </w:rPr>
        <w:t>（２）在宅医療・介護連携の推進について</w:t>
      </w:r>
      <w:bookmarkEnd w:id="56"/>
    </w:p>
    <w:p>
      <w:pPr>
        <w:pStyle w:val="0"/>
        <w:ind w:left="240" w:hanging="240" w:hangingChars="100"/>
        <w:jc w:val="both"/>
        <w:rPr>
          <w:rFonts w:hint="default"/>
        </w:rPr>
      </w:pPr>
      <w:r>
        <w:rPr>
          <w:rFonts w:hint="eastAsia"/>
        </w:rPr>
        <w:t>○　医療と介護の連携が着実に進んでいますが、高齢者人口の増加に伴う医療需要の変化を見据えた病床の見直しに伴う在宅療養者の増加や、在宅療養者の受け皿となる在宅診療医の確保に向けた取組の検討、医療機関の退院から在宅への切れ目ない医療と介護サービスの連携強化などの取り組むべき課題があります。</w:t>
      </w:r>
    </w:p>
    <w:p>
      <w:pPr>
        <w:pStyle w:val="0"/>
        <w:ind w:left="240" w:hanging="240" w:hangingChars="100"/>
        <w:jc w:val="both"/>
        <w:rPr>
          <w:rFonts w:hint="default"/>
        </w:rPr>
      </w:pPr>
      <w:r>
        <w:rPr>
          <w:rFonts w:hint="eastAsia"/>
        </w:rPr>
        <w:t>○　終末期における看取りの考えかたについては、本人は在宅での最期を希望しているものの、家族が看取りをためらい、本人の意向に沿えないケースがみられます。そのため、人生の最終段階における医療・ケアについて、早い段階から医療関係者、本人、家族が話し合いの機会を設けることが望ましく、ＡＣＰ（アドバンス・ケア・プランニング）</w:t>
      </w:r>
      <w:r>
        <w:rPr>
          <w:rFonts w:hint="eastAsia"/>
          <w:vertAlign w:val="superscript"/>
        </w:rPr>
        <w:t>※</w:t>
      </w:r>
      <w:r>
        <w:rPr>
          <w:rStyle w:val="42"/>
          <w:rFonts w:hint="eastAsia"/>
        </w:rPr>
        <w:footnoteReference w:id="5"/>
      </w:r>
      <w:r>
        <w:rPr>
          <w:rFonts w:hint="eastAsia"/>
        </w:rPr>
        <w:t>の普及・啓発が必要です。</w:t>
      </w:r>
    </w:p>
    <w:p>
      <w:pPr>
        <w:pStyle w:val="0"/>
        <w:ind w:left="240" w:hanging="240" w:hangingChars="100"/>
        <w:jc w:val="both"/>
        <w:rPr>
          <w:rFonts w:hint="default"/>
        </w:rPr>
      </w:pPr>
    </w:p>
    <w:p>
      <w:pPr>
        <w:pStyle w:val="0"/>
        <w:ind w:left="240" w:hanging="240" w:hangingChars="100"/>
        <w:jc w:val="both"/>
        <w:rPr>
          <w:rFonts w:hint="default"/>
        </w:rPr>
      </w:pPr>
    </w:p>
    <w:p>
      <w:pPr>
        <w:pStyle w:val="0"/>
        <w:ind w:left="240" w:hanging="240" w:hangingChars="100"/>
        <w:jc w:val="both"/>
        <w:rPr>
          <w:rFonts w:hint="default"/>
        </w:rPr>
      </w:pPr>
      <w:r>
        <w:rPr>
          <w:rFonts w:hint="eastAsia"/>
        </w:rPr>
        <w:t>○　在宅療養の受け皿となる在宅療養支援病院は、市内には１か所しかなく、がんのターミナルのかたのみを対象としています。介護が必要で医療が少ないかたの急変時に対応・支援できる病院（在宅療養後方支援病院</w:t>
      </w:r>
      <w:r>
        <w:rPr>
          <w:rFonts w:hint="eastAsia"/>
          <w:vertAlign w:val="superscript"/>
        </w:rPr>
        <w:t>※</w:t>
      </w:r>
      <w:r>
        <w:rPr>
          <w:rStyle w:val="42"/>
          <w:rFonts w:hint="eastAsia"/>
        </w:rPr>
        <w:footnoteReference w:id="6"/>
      </w:r>
      <w:r>
        <w:rPr>
          <w:rFonts w:hint="eastAsia"/>
        </w:rPr>
        <w:t>）が少なく、かかりつけ医がスムーズに病院連携できる仕組みが課題です。</w:t>
      </w:r>
    </w:p>
    <w:p>
      <w:pPr>
        <w:pStyle w:val="0"/>
        <w:ind w:left="240" w:hanging="240" w:hangingChars="100"/>
        <w:jc w:val="both"/>
        <w:rPr>
          <w:rFonts w:hint="default"/>
        </w:rPr>
      </w:pPr>
      <w:r>
        <w:rPr>
          <w:rFonts w:hint="eastAsia"/>
        </w:rPr>
        <w:t>○　在宅医療・介護連携に関する協議及び入退院支援システムの構築支援、治療・ケアの意思決定確認、実施状況の検証や取組の改善、後方支援病院との体制づくり等、在宅医療と介護を一体的に実施するため、在宅医療コーディネート機能の充実について検討する必要があります。</w:t>
      </w:r>
    </w:p>
    <w:p>
      <w:pPr>
        <w:pStyle w:val="0"/>
        <w:ind w:left="240" w:hanging="240" w:hangingChars="100"/>
        <w:jc w:val="both"/>
        <w:rPr>
          <w:rFonts w:hint="default"/>
        </w:rPr>
      </w:pPr>
      <w:r>
        <w:rPr>
          <w:rFonts w:hint="eastAsia"/>
        </w:rPr>
        <w:t>○　大阪府地域医療構想</w:t>
      </w:r>
      <w:r>
        <w:rPr>
          <w:rFonts w:hint="eastAsia"/>
          <w:vertAlign w:val="superscript"/>
        </w:rPr>
        <w:t>※</w:t>
      </w:r>
      <w:r>
        <w:rPr>
          <w:rStyle w:val="42"/>
          <w:rFonts w:hint="eastAsia"/>
        </w:rPr>
        <w:footnoteReference w:id="7"/>
      </w:r>
      <w:r>
        <w:rPr>
          <w:rFonts w:hint="eastAsia"/>
        </w:rPr>
        <w:t>によると、本市では急性期病床数は充足していますが、慢性期病床</w:t>
      </w:r>
      <w:r>
        <w:rPr>
          <w:rFonts w:hint="eastAsia"/>
          <w:vertAlign w:val="superscript"/>
        </w:rPr>
        <w:t>※</w:t>
      </w:r>
      <w:r>
        <w:rPr>
          <w:rStyle w:val="42"/>
          <w:rFonts w:hint="eastAsia"/>
        </w:rPr>
        <w:footnoteReference w:id="8"/>
      </w:r>
      <w:r>
        <w:rPr>
          <w:rFonts w:hint="eastAsia"/>
        </w:rPr>
        <w:t>数は不足しています。また在宅医療を支える訪問診療、往診する医師が必要であり、後期高齢者数増加に伴い需要に見合った在宅医療提供体制の確保が急がれます。</w:t>
      </w:r>
    </w:p>
    <w:p>
      <w:pPr>
        <w:pStyle w:val="0"/>
        <w:rPr>
          <w:rFonts w:hint="default"/>
        </w:rPr>
      </w:pPr>
    </w:p>
    <w:p>
      <w:pPr>
        <w:pStyle w:val="4"/>
        <w:ind w:left="39" w:leftChars="-99" w:hanging="277" w:hangingChars="99"/>
        <w:rPr>
          <w:rFonts w:hint="default" w:ascii="メイリオ" w:hAnsi="メイリオ" w:eastAsia="メイリオ"/>
          <w:b w:val="0"/>
          <w:sz w:val="28"/>
        </w:rPr>
      </w:pPr>
      <w:bookmarkStart w:id="57" w:name="_Toc59007781"/>
      <w:r>
        <w:rPr>
          <w:rFonts w:hint="eastAsia" w:ascii="メイリオ" w:hAnsi="メイリオ" w:eastAsia="メイリオ"/>
          <w:b w:val="0"/>
          <w:sz w:val="28"/>
        </w:rPr>
        <w:t>（３）認知症施策の推進について</w:t>
      </w:r>
      <w:bookmarkEnd w:id="57"/>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高齢化の進行に伴い、本市でも認知症高齢者数は増加することが見込まれます。このため、できるだけ認知症の発症を遅らせ</w:t>
      </w:r>
      <w:r>
        <w:rPr>
          <w:rFonts w:hint="eastAsia"/>
        </w:rPr>
        <w:t>るために</w:t>
      </w:r>
      <w:r>
        <w:rPr>
          <w:rFonts w:hint="default"/>
        </w:rPr>
        <w:t>、</w:t>
      </w:r>
      <w:r>
        <w:rPr>
          <w:rFonts w:hint="eastAsia"/>
        </w:rPr>
        <w:t>成人期からの生活習慣病対策のほか、運動・知的・社会活動等の様々</w:t>
      </w:r>
      <w:r>
        <w:rPr>
          <w:rFonts w:hint="default"/>
        </w:rPr>
        <w:t>な手法で認知症予防の取組を展開していくことが必要です。</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認知症初期集中支援チームや認知症地域支援推進員の配置によって、認知症のかた</w:t>
      </w:r>
      <w:r>
        <w:rPr>
          <w:rFonts w:hint="eastAsia"/>
        </w:rPr>
        <w:t>へ</w:t>
      </w:r>
      <w:r>
        <w:rPr>
          <w:rFonts w:hint="default"/>
        </w:rPr>
        <w:t>の早期介入、家族等の早期支援、地域との連携が着実に進んでおり、今後はケアマネジャーなどの関係者との連携を</w:t>
      </w:r>
      <w:r>
        <w:rPr>
          <w:rFonts w:hint="eastAsia"/>
        </w:rPr>
        <w:t>更に</w:t>
      </w:r>
      <w:r>
        <w:rPr>
          <w:rFonts w:hint="default"/>
        </w:rPr>
        <w:t>進めることが必要です。</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「みのお行方不明者</w:t>
      </w:r>
      <w:r>
        <w:rPr>
          <w:rFonts w:hint="eastAsia"/>
        </w:rPr>
        <w:t>ＳＯＳ</w:t>
      </w:r>
      <w:r>
        <w:rPr>
          <w:rFonts w:hint="default"/>
        </w:rPr>
        <w:t>ネット」については、周知や登録が進んでいますが、行方不明事案発生時に速やかに対応できるよう、</w:t>
      </w:r>
      <w:r>
        <w:rPr>
          <w:rFonts w:hint="eastAsia"/>
        </w:rPr>
        <w:t>更に</w:t>
      </w:r>
      <w:r>
        <w:rPr>
          <w:rFonts w:hint="default"/>
        </w:rPr>
        <w:t>周知を進める必要があります。また、「市民安全メール」についても、行方不明高齢者の早期発見のために広く協力を求めていく必要があります。</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地域で見守るかたを増やすために</w:t>
      </w:r>
      <w:r>
        <w:rPr>
          <w:rFonts w:hint="default"/>
        </w:rPr>
        <w:t>認知症サポーター等</w:t>
      </w:r>
      <w:r>
        <w:rPr>
          <w:rFonts w:hint="eastAsia"/>
        </w:rPr>
        <w:t>を更に</w:t>
      </w:r>
      <w:r>
        <w:rPr>
          <w:rFonts w:hint="default"/>
        </w:rPr>
        <w:t>養成するとともに、</w:t>
      </w:r>
      <w:r>
        <w:rPr>
          <w:rFonts w:hint="eastAsia"/>
        </w:rPr>
        <w:t>高齢者</w:t>
      </w:r>
      <w:r>
        <w:rPr>
          <w:rFonts w:hint="default"/>
        </w:rPr>
        <w:t>見守りサービス</w:t>
      </w:r>
      <w:r>
        <w:rPr>
          <w:rFonts w:hint="eastAsia"/>
        </w:rPr>
        <w:t>o</w:t>
      </w:r>
      <w:r>
        <w:rPr>
          <w:rFonts w:hint="default"/>
        </w:rPr>
        <w:t>tta</w:t>
      </w:r>
      <w:r>
        <w:rPr>
          <w:rFonts w:hint="default"/>
        </w:rPr>
        <w:t>の活用等とあわせて、地域の見守り体制を強化する必要があります。</w:t>
      </w:r>
    </w:p>
    <w:p>
      <w:pPr>
        <w:pStyle w:val="0"/>
        <w:tabs>
          <w:tab w:val="left" w:leader="none" w:pos="360"/>
        </w:tabs>
        <w:autoSpaceDE w:val="0"/>
        <w:autoSpaceDN w:val="0"/>
        <w:adjustRightInd w:val="0"/>
        <w:ind w:left="240" w:hanging="240" w:hangingChars="100"/>
        <w:jc w:val="both"/>
        <w:rPr>
          <w:rFonts w:hint="default"/>
        </w:rPr>
      </w:pPr>
      <w:r>
        <w:rPr>
          <w:rFonts w:hint="eastAsia"/>
        </w:rPr>
        <w:t>○　認知症サポーターを中心としたチームで認知症のかたや家族のニーズを支援でつなぐ仕組み（チームオレンジなど）を構築する必要があります。外出支援、見守り・声かけ、話し相手、認知症のかたの家庭訪問、家族支援等が考えられ、早期からの支援で進行予防に取り組めるように工夫します。</w:t>
      </w:r>
    </w:p>
    <w:p>
      <w:pPr>
        <w:pStyle w:val="0"/>
        <w:tabs>
          <w:tab w:val="left" w:leader="none" w:pos="360"/>
        </w:tabs>
        <w:autoSpaceDE w:val="0"/>
        <w:autoSpaceDN w:val="0"/>
        <w:adjustRightInd w:val="0"/>
        <w:ind w:left="240" w:hanging="240" w:hangingChars="100"/>
        <w:jc w:val="both"/>
        <w:rPr>
          <w:rFonts w:hint="default"/>
        </w:rPr>
      </w:pPr>
    </w:p>
    <w:p>
      <w:pPr>
        <w:pStyle w:val="0"/>
        <w:tabs>
          <w:tab w:val="left" w:leader="none" w:pos="360"/>
        </w:tabs>
        <w:autoSpaceDE w:val="0"/>
        <w:autoSpaceDN w:val="0"/>
        <w:adjustRightInd w:val="0"/>
        <w:ind w:left="240" w:hanging="240" w:hangingChars="100"/>
        <w:jc w:val="both"/>
        <w:rPr>
          <w:rFonts w:hint="default"/>
        </w:rPr>
      </w:pPr>
    </w:p>
    <w:p>
      <w:pPr>
        <w:pStyle w:val="0"/>
        <w:tabs>
          <w:tab w:val="left" w:leader="none" w:pos="360"/>
        </w:tabs>
        <w:autoSpaceDE w:val="0"/>
        <w:autoSpaceDN w:val="0"/>
        <w:adjustRightInd w:val="0"/>
        <w:ind w:left="240" w:hanging="240" w:hangingChars="100"/>
        <w:jc w:val="both"/>
        <w:rPr>
          <w:rFonts w:hint="default"/>
        </w:rPr>
      </w:pPr>
    </w:p>
    <w:p>
      <w:pPr>
        <w:pStyle w:val="0"/>
        <w:tabs>
          <w:tab w:val="left" w:leader="none" w:pos="360"/>
        </w:tabs>
        <w:autoSpaceDE w:val="0"/>
        <w:autoSpaceDN w:val="0"/>
        <w:adjustRightInd w:val="0"/>
        <w:ind w:left="240" w:hanging="240" w:hangingChars="100"/>
        <w:jc w:val="both"/>
        <w:rPr>
          <w:rFonts w:hint="default"/>
        </w:rPr>
      </w:pPr>
      <w:r>
        <w:rPr>
          <w:rFonts w:hint="eastAsia"/>
        </w:rPr>
        <w:t>○　国は令和元年</w:t>
      </w:r>
      <w:r>
        <w:rPr>
          <w:rFonts w:hint="eastAsia"/>
        </w:rPr>
        <w:t>(2019</w:t>
      </w:r>
      <w:r>
        <w:rPr>
          <w:rFonts w:hint="eastAsia"/>
        </w:rPr>
        <w:t>年</w:t>
      </w:r>
      <w:r>
        <w:rPr>
          <w:rFonts w:hint="eastAsia"/>
        </w:rPr>
        <w:t>)</w:t>
      </w:r>
      <w:r>
        <w:rPr>
          <w:rFonts w:hint="eastAsia"/>
        </w:rPr>
        <w:t>６月に「認知症施策推進大綱」を取りまとめましたが、これは認知症関係施策を強化するのが目的です。認知症になっても住みやすい社会を形成する「共生」と、発症や進行を遅らせる「予防」を車の両輪に位置付けつつ、１</w:t>
      </w:r>
      <w:r>
        <w:rPr>
          <w:rFonts w:hint="eastAsia"/>
        </w:rPr>
        <w:t xml:space="preserve">) </w:t>
      </w:r>
      <w:r>
        <w:rPr>
          <w:rFonts w:hint="eastAsia"/>
        </w:rPr>
        <w:t>普及啓発・本人発信支援、２</w:t>
      </w:r>
      <w:r>
        <w:rPr>
          <w:rFonts w:hint="eastAsia"/>
        </w:rPr>
        <w:t xml:space="preserve">) </w:t>
      </w:r>
      <w:r>
        <w:rPr>
          <w:rFonts w:hint="eastAsia"/>
        </w:rPr>
        <w:t>予防、３</w:t>
      </w:r>
      <w:r>
        <w:rPr>
          <w:rFonts w:hint="eastAsia"/>
        </w:rPr>
        <w:t xml:space="preserve">) </w:t>
      </w:r>
      <w:r>
        <w:rPr>
          <w:rFonts w:hint="eastAsia"/>
        </w:rPr>
        <w:t>医療・ケア・介護サービス・介護者への支援、４</w:t>
      </w:r>
      <w:r>
        <w:rPr>
          <w:rFonts w:hint="eastAsia"/>
        </w:rPr>
        <w:t xml:space="preserve">) </w:t>
      </w:r>
      <w:r>
        <w:rPr>
          <w:rFonts w:hint="eastAsia"/>
        </w:rPr>
        <w:t>認知症バリアフリーの推進・若年性認知症の人への支援・社会参加支援、５</w:t>
      </w:r>
      <w:r>
        <w:rPr>
          <w:rFonts w:hint="eastAsia"/>
        </w:rPr>
        <w:t xml:space="preserve">) </w:t>
      </w:r>
      <w:r>
        <w:rPr>
          <w:rFonts w:hint="eastAsia"/>
        </w:rPr>
        <w:t>研究開発・産業促進・国際展開の５つを柱に掲げました。本市では認知症の発症時期や段階に着目し、予防、早期発見・早期対応、共生に向けて各段階の対象者の状態像に合わせて取り組む必要があります。</w:t>
      </w:r>
    </w:p>
    <w:p>
      <w:pPr>
        <w:pStyle w:val="0"/>
        <w:rPr>
          <w:rFonts w:hint="default"/>
        </w:rPr>
      </w:pPr>
    </w:p>
    <w:p>
      <w:pPr>
        <w:pStyle w:val="4"/>
        <w:ind w:left="39" w:leftChars="-99" w:hanging="277" w:hangingChars="99"/>
        <w:rPr>
          <w:rFonts w:hint="default" w:ascii="メイリオ" w:hAnsi="メイリオ" w:eastAsia="メイリオ"/>
          <w:b w:val="0"/>
          <w:sz w:val="28"/>
        </w:rPr>
      </w:pPr>
      <w:bookmarkStart w:id="58" w:name="_Toc59007782"/>
      <w:r>
        <w:rPr>
          <w:rFonts w:hint="eastAsia" w:ascii="メイリオ" w:hAnsi="メイリオ" w:eastAsia="メイリオ"/>
          <w:b w:val="0"/>
          <w:sz w:val="28"/>
        </w:rPr>
        <w:t>（４）介護予防や健康づくり施策の充実・推進について</w:t>
      </w:r>
      <w:bookmarkEnd w:id="58"/>
    </w:p>
    <w:p>
      <w:pPr>
        <w:pStyle w:val="0"/>
        <w:ind w:left="240" w:hanging="240" w:hangingChars="100"/>
        <w:jc w:val="both"/>
        <w:rPr>
          <w:rFonts w:hint="default"/>
        </w:rPr>
      </w:pPr>
      <w:r>
        <w:rPr>
          <w:rFonts w:hint="eastAsia"/>
        </w:rPr>
        <w:t>○　介護予防や健康づくりの理念としては、要支援・要介護状態となることをできる限り防ぎ、遅らせること</w:t>
      </w:r>
      <w:r>
        <w:rPr>
          <w:rFonts w:hint="eastAsia"/>
        </w:rPr>
        <w:t>(</w:t>
      </w:r>
      <w:r>
        <w:rPr>
          <w:rFonts w:hint="eastAsia"/>
        </w:rPr>
        <w:t>介護予防）、また要介護状態等になってもその状態を可能な限り維持すること（重度化予防）が重要です。このため、心身状態の変化（自立・フレイル</w:t>
      </w:r>
      <w:r>
        <w:rPr>
          <w:rFonts w:hint="eastAsia"/>
          <w:vertAlign w:val="superscript"/>
        </w:rPr>
        <w:t>※</w:t>
      </w:r>
      <w:r>
        <w:rPr>
          <w:rStyle w:val="42"/>
          <w:rFonts w:hint="eastAsia"/>
        </w:rPr>
        <w:footnoteReference w:id="9"/>
      </w:r>
      <w:r>
        <w:rPr>
          <w:rFonts w:hint="eastAsia"/>
        </w:rPr>
        <w:t>・要支援・要介護）を連続的にとらえ支援することが必要です。</w:t>
      </w:r>
    </w:p>
    <w:p>
      <w:pPr>
        <w:pStyle w:val="0"/>
        <w:ind w:left="240" w:hanging="240" w:hangingChars="100"/>
        <w:jc w:val="both"/>
        <w:rPr>
          <w:rFonts w:hint="default"/>
        </w:rPr>
      </w:pPr>
      <w:r>
        <w:rPr>
          <w:rFonts w:hint="eastAsia"/>
        </w:rPr>
        <w:t>○　介護予防事業をより効果的に推進するため、介護保険データ等も活用しながら、ＰＤＣＡサイクルに沿って定期的に評価や改善をする必要があります。また、引き続き市医療職が関与し、関係事業との連携等により、効率的に事業を推進していくことが必要です。</w:t>
      </w:r>
    </w:p>
    <w:p>
      <w:pPr>
        <w:pStyle w:val="0"/>
        <w:ind w:left="240" w:hanging="240" w:hangingChars="100"/>
        <w:jc w:val="both"/>
        <w:rPr>
          <w:rFonts w:hint="default"/>
        </w:rPr>
      </w:pPr>
      <w:r>
        <w:rPr>
          <w:rFonts w:hint="eastAsia"/>
        </w:rPr>
        <w:t>○　特に、令和２年</w:t>
      </w:r>
      <w:r>
        <w:rPr>
          <w:rFonts w:hint="eastAsia"/>
        </w:rPr>
        <w:t>(2020</w:t>
      </w:r>
      <w:r>
        <w:rPr>
          <w:rFonts w:hint="eastAsia"/>
        </w:rPr>
        <w:t>年</w:t>
      </w:r>
      <w:r>
        <w:rPr>
          <w:rFonts w:hint="eastAsia"/>
        </w:rPr>
        <w:t>)</w:t>
      </w:r>
      <w:r>
        <w:rPr>
          <w:rFonts w:hint="eastAsia"/>
        </w:rPr>
        <w:t>４月に改正施行された高齢者の医療の確保に関する法律等に</w:t>
      </w:r>
    </w:p>
    <w:p>
      <w:pPr>
        <w:pStyle w:val="0"/>
        <w:ind w:left="240" w:leftChars="100"/>
        <w:jc w:val="both"/>
        <w:rPr>
          <w:rFonts w:hint="default"/>
        </w:rPr>
      </w:pPr>
      <w:r>
        <w:rPr>
          <w:rFonts w:hint="eastAsia"/>
        </w:rPr>
        <w:t>よる「高齢者の保健事業と介護予防の一体的な実施」に、新たに取り組む必要があります。</w:t>
      </w:r>
    </w:p>
    <w:p>
      <w:pPr>
        <w:pStyle w:val="0"/>
        <w:ind w:left="240" w:hanging="240" w:hangingChars="100"/>
        <w:jc w:val="both"/>
        <w:rPr>
          <w:rFonts w:hint="default"/>
        </w:rPr>
      </w:pPr>
      <w:r>
        <w:rPr>
          <w:rFonts w:hint="eastAsia"/>
        </w:rPr>
        <w:t>○　高齢者の社会参加は、介護予防や生きがいづくりにつながるため、ボランティア活動や就労的活動などをより一層促進する仕組みづくりが求められています。</w:t>
      </w:r>
    </w:p>
    <w:p>
      <w:pPr>
        <w:pStyle w:val="0"/>
        <w:ind w:left="240" w:hanging="240" w:hangingChars="100"/>
        <w:jc w:val="both"/>
        <w:rPr>
          <w:rFonts w:hint="default"/>
        </w:rPr>
      </w:pPr>
      <w:r>
        <w:rPr>
          <w:rFonts w:hint="eastAsia"/>
        </w:rPr>
        <w:t>○　また、引き続き地域の通いの場の創出など、外出機会を増やす取組や、気軽にスポーツができる環境づくりを進めることにより、閉じこもり予防や運動機能の維持・改善、社会参加促進を図ることが重要です。</w:t>
      </w:r>
    </w:p>
    <w:p>
      <w:pPr>
        <w:pStyle w:val="0"/>
        <w:ind w:left="240" w:hanging="240" w:hangingChars="100"/>
        <w:rPr>
          <w:rFonts w:hint="default"/>
        </w:rPr>
      </w:pPr>
    </w:p>
    <w:p>
      <w:pPr>
        <w:pStyle w:val="4"/>
        <w:ind w:left="39" w:leftChars="-99" w:hanging="277" w:hangingChars="99"/>
        <w:rPr>
          <w:rFonts w:hint="default"/>
          <w:highlight w:val="yellow"/>
        </w:rPr>
      </w:pPr>
      <w:bookmarkStart w:id="59" w:name="_Toc59007783"/>
      <w:r>
        <w:rPr>
          <w:rFonts w:hint="eastAsia" w:ascii="メイリオ" w:hAnsi="メイリオ" w:eastAsia="メイリオ"/>
          <w:b w:val="0"/>
          <w:sz w:val="28"/>
        </w:rPr>
        <w:t>（５）介護サービスの充実について</w:t>
      </w:r>
      <w:bookmarkEnd w:id="59"/>
    </w:p>
    <w:p>
      <w:pPr>
        <w:pStyle w:val="0"/>
        <w:ind w:left="240" w:hanging="240" w:hangingChars="100"/>
        <w:jc w:val="both"/>
        <w:rPr>
          <w:rFonts w:hint="default"/>
        </w:rPr>
      </w:pPr>
      <w:r>
        <w:rPr>
          <w:rFonts w:hint="eastAsia"/>
        </w:rPr>
        <w:t>○　介護現場で働く介護職員等の介護人材不足は、大きな課題であり、少子高齢化の影響で今後ますます加速することが見込まれるため、介護人材確保や業務効率化の取組が重要です。</w:t>
      </w:r>
    </w:p>
    <w:p>
      <w:pPr>
        <w:pStyle w:val="0"/>
        <w:ind w:left="240" w:hanging="240" w:hangingChars="100"/>
        <w:jc w:val="both"/>
        <w:rPr>
          <w:rFonts w:hint="default"/>
        </w:rPr>
      </w:pPr>
      <w:r>
        <w:rPr>
          <w:rFonts w:hint="eastAsia"/>
        </w:rPr>
        <w:t>○　介護離職の防止のため、介護に取り組む家族等への支援等、介護と仕事を両立できる環境づくりが求められています。</w:t>
      </w:r>
    </w:p>
    <w:p>
      <w:pPr>
        <w:pStyle w:val="0"/>
        <w:ind w:left="240" w:hanging="240" w:hangingChars="100"/>
        <w:jc w:val="both"/>
        <w:rPr>
          <w:rFonts w:hint="default"/>
        </w:rPr>
      </w:pPr>
      <w:r>
        <w:rPr>
          <w:rFonts w:hint="eastAsia"/>
        </w:rPr>
        <w:t>○　引き続き、関係機関との情報共有・課題検討などを行うとともに、高齢者のボランティア活動や就労的活動との連携についても、検討を進める必要があります。</w:t>
      </w:r>
    </w:p>
    <w:p>
      <w:pPr>
        <w:pStyle w:val="4"/>
        <w:ind w:left="39" w:leftChars="-99" w:hanging="277" w:hangingChars="99"/>
        <w:rPr>
          <w:rFonts w:hint="default" w:ascii="メイリオ" w:hAnsi="メイリオ" w:eastAsia="メイリオ"/>
          <w:b w:val="0"/>
          <w:sz w:val="28"/>
          <w:highlight w:val="yellow"/>
        </w:rPr>
      </w:pPr>
      <w:bookmarkStart w:id="60" w:name="_Toc59007784"/>
      <w:r>
        <w:rPr>
          <w:rFonts w:hint="eastAsia" w:ascii="メイリオ" w:hAnsi="メイリオ" w:eastAsia="メイリオ"/>
          <w:b w:val="0"/>
          <w:sz w:val="28"/>
        </w:rPr>
        <w:t>（６）安全、安心、快適に暮らせるまちづくりについて</w:t>
      </w:r>
      <w:bookmarkEnd w:id="60"/>
    </w:p>
    <w:p>
      <w:pPr>
        <w:pStyle w:val="0"/>
        <w:tabs>
          <w:tab w:val="left" w:leader="none" w:pos="360"/>
        </w:tabs>
        <w:autoSpaceDE w:val="0"/>
        <w:autoSpaceDN w:val="0"/>
        <w:adjustRightInd w:val="0"/>
        <w:ind w:left="240" w:hanging="240" w:hangingChars="100"/>
        <w:jc w:val="both"/>
        <w:rPr>
          <w:rFonts w:hint="default"/>
        </w:rPr>
      </w:pPr>
      <w:r>
        <w:rPr>
          <w:rFonts w:hint="eastAsia"/>
        </w:rPr>
        <w:t>○　病床の機能分化、特別養護老人ホームの待機、「介護離職ゼロ」の取組の推進や今後の介護需要などをふまえ、必要な介護サービス基盤の整備を進める必要があります。また、介護を受けながら在宅生活を継続できるように、家族介護者への支援の充実や在宅医療と在宅介護の連携の強化が求められています。</w:t>
      </w:r>
    </w:p>
    <w:p>
      <w:pPr>
        <w:pStyle w:val="0"/>
        <w:ind w:left="240" w:hanging="240" w:hangingChars="100"/>
        <w:jc w:val="both"/>
        <w:rPr>
          <w:rFonts w:hint="default"/>
        </w:rPr>
      </w:pPr>
      <w:r>
        <w:rPr>
          <w:rFonts w:hint="eastAsia"/>
        </w:rPr>
        <w:t>○　住宅型有料老人ホーム及びサービス付き高齢者向け住宅は、本市には併せて</w:t>
      </w:r>
      <w:r>
        <w:rPr>
          <w:rFonts w:hint="eastAsia"/>
        </w:rPr>
        <w:t>23</w:t>
      </w:r>
      <w:r>
        <w:rPr>
          <w:rFonts w:hint="eastAsia"/>
        </w:rPr>
        <w:t>か所あり、これらの住宅における介護サービス提供状況などの情報把握に努め、市民への情報提供等を進め、質の向上に向けた取組を進める必要があります。</w:t>
      </w:r>
    </w:p>
    <w:p>
      <w:pPr>
        <w:pStyle w:val="0"/>
        <w:ind w:left="240" w:hanging="240" w:hangingChars="100"/>
        <w:jc w:val="both"/>
        <w:rPr>
          <w:rFonts w:hint="default"/>
        </w:rPr>
      </w:pPr>
      <w:r>
        <w:rPr>
          <w:rFonts w:hint="eastAsia"/>
        </w:rPr>
        <w:t>○　近年の災害発生状況や感染症の流行をふまえ、非常時に備えた防災、感染症対策が重要です。</w:t>
      </w:r>
    </w:p>
    <w:p>
      <w:pPr>
        <w:pStyle w:val="0"/>
        <w:ind w:left="240" w:hanging="240" w:hangingChars="100"/>
        <w:rPr>
          <w:rFonts w:hint="default"/>
        </w:rPr>
      </w:pPr>
    </w:p>
    <w:p>
      <w:pPr>
        <w:pStyle w:val="4"/>
        <w:ind w:left="39" w:leftChars="-99" w:hanging="277" w:hangingChars="99"/>
        <w:rPr>
          <w:rFonts w:hint="default" w:ascii="メイリオ" w:hAnsi="メイリオ" w:eastAsia="メイリオ"/>
          <w:b w:val="0"/>
          <w:sz w:val="28"/>
          <w:highlight w:val="yellow"/>
        </w:rPr>
      </w:pPr>
      <w:bookmarkStart w:id="61" w:name="_Toc59007785"/>
      <w:r>
        <w:rPr>
          <w:rFonts w:hint="eastAsia" w:ascii="メイリオ" w:hAnsi="メイリオ" w:eastAsia="メイリオ"/>
          <w:b w:val="0"/>
          <w:sz w:val="28"/>
        </w:rPr>
        <w:t>（７）権利擁護の推進について</w:t>
      </w:r>
      <w:bookmarkEnd w:id="61"/>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高齢者虐待については、「何が虐待にあたるのか」について、広く市民や地域関係者、介護サービス事業者等の理解を促進することにより、早期の気づきと相談を進めることが重要です。また、虐待事案が確認された場合は、市及び地域包括支援センターが中心となり、速やかな解決をめざして必要な対応を進めるとともに、困難な事案については関係機関の協力を得て取組を進めることが必要です。　</w:t>
      </w:r>
    </w:p>
    <w:p>
      <w:pPr>
        <w:pStyle w:val="0"/>
        <w:tabs>
          <w:tab w:val="left" w:leader="none" w:pos="360"/>
        </w:tabs>
        <w:autoSpaceDE w:val="0"/>
        <w:autoSpaceDN w:val="0"/>
        <w:adjustRightInd w:val="0"/>
        <w:ind w:left="240" w:hanging="240" w:hangingChars="100"/>
        <w:jc w:val="both"/>
        <w:rPr>
          <w:rFonts w:hint="default"/>
        </w:rPr>
      </w:pPr>
      <w:r>
        <w:rPr>
          <w:rFonts w:hint="default"/>
        </w:rPr>
        <w:t>　</w:t>
      </w:r>
      <w:r>
        <w:rPr>
          <w:rFonts w:hint="eastAsia"/>
        </w:rPr>
        <w:t>　</w:t>
      </w:r>
      <w:r>
        <w:rPr>
          <w:rFonts w:hint="default"/>
        </w:rPr>
        <w:t>併せて、虐待の背景となる認知症への理解不足の解消や、家族の介護負担軽減等を進める必要があります。</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成年後見制度については、制度内容や利用方法についての周知を図り、認知症等で判断能力が十分でないかたの利用と権利擁護を引き続き支援することが重要です。</w:t>
      </w:r>
    </w:p>
    <w:p>
      <w:pPr>
        <w:pStyle w:val="0"/>
        <w:ind w:left="240" w:leftChars="100"/>
        <w:jc w:val="both"/>
        <w:rPr>
          <w:rFonts w:hint="default"/>
        </w:rPr>
      </w:pPr>
      <w:r>
        <w:rPr>
          <w:rFonts w:hint="default"/>
        </w:rPr>
        <w:t>　</w:t>
      </w:r>
      <w:r>
        <w:rPr>
          <w:rFonts w:hint="default"/>
          <w:color w:val="000000" w:themeColor="text1"/>
        </w:rPr>
        <w:t>また、成年後見利用</w:t>
      </w:r>
      <w:r>
        <w:rPr>
          <w:rFonts w:hint="eastAsia"/>
          <w:color w:val="000000" w:themeColor="text1"/>
        </w:rPr>
        <w:t>の</w:t>
      </w:r>
      <w:r>
        <w:rPr>
          <w:rFonts w:hint="default"/>
          <w:color w:val="000000" w:themeColor="text1"/>
        </w:rPr>
        <w:t>ニーズの高まりが見込まれることから、</w:t>
      </w:r>
      <w:r>
        <w:rPr>
          <w:rFonts w:hint="eastAsia"/>
          <w:color w:val="000000" w:themeColor="text1"/>
        </w:rPr>
        <w:t>専門的な相談が受けられる体制整備と継続的な運営が可能な法人後見の担い手の確保が必要です。</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高齢者が、消費生活トラブルや還付金詐欺等の被害を受けることが増え、内容も多様化していることから、警察や消費生活センター等と連携して、地域包括支援センターでの相談対応や、地域の関係機関を通じた周知啓発に引き続き取り組むことが重要です。</w:t>
      </w: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2"/>
        <w:rPr>
          <w:rFonts w:hint="default"/>
        </w:rPr>
      </w:pPr>
      <w:bookmarkStart w:id="62" w:name="_Toc59007786"/>
      <w:r>
        <w:rPr>
          <w:rFonts w:hint="eastAsia"/>
        </w:rPr>
        <w:drawing>
          <wp:anchor distT="0" distB="0" distL="114300" distR="114300" simplePos="0" relativeHeight="260" behindDoc="0" locked="0" layoutInCell="1" hidden="0" allowOverlap="1">
            <wp:simplePos x="0" y="0"/>
            <wp:positionH relativeFrom="column">
              <wp:posOffset>0</wp:posOffset>
            </wp:positionH>
            <wp:positionV relativeFrom="paragraph">
              <wp:posOffset>-431800</wp:posOffset>
            </wp:positionV>
            <wp:extent cx="6188710" cy="798830"/>
            <wp:effectExtent l="0" t="0" r="0" b="0"/>
            <wp:wrapNone/>
            <wp:docPr id="1126" name="3章.bmp" descr="テキスト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26" name="3章.bmp" descr="テキスト が含まれている画像&#10;&#10;自動的に生成された説明"/>
                    <pic:cNvPicPr/>
                  </pic:nvPicPr>
                  <pic:blipFill>
                    <a:blip r:embed="rId82"/>
                    <a:stretch>
                      <a:fillRect/>
                    </a:stretch>
                  </pic:blipFill>
                  <pic:spPr>
                    <a:xfrm>
                      <a:off x="0" y="0"/>
                      <a:ext cx="6188710" cy="798830"/>
                    </a:xfrm>
                    <a:prstGeom prst="rect">
                      <a:avLst/>
                    </a:prstGeom>
                  </pic:spPr>
                </pic:pic>
              </a:graphicData>
            </a:graphic>
          </wp:anchor>
        </w:drawing>
      </w:r>
      <w:r>
        <w:rPr>
          <w:rFonts w:hint="eastAsia"/>
        </w:rPr>
        <w:t>第３章　計画の基本的な考え</w:t>
      </w:r>
      <w:bookmarkEnd w:id="62"/>
      <w:r>
        <w:rPr>
          <w:rFonts w:hint="eastAsia"/>
        </w:rPr>
        <w:t>かた</w:t>
      </w:r>
    </w:p>
    <w:p>
      <w:pPr>
        <w:pStyle w:val="3"/>
        <w:ind w:left="0" w:leftChars="0"/>
        <w:rPr>
          <w:rFonts w:hint="default" w:ascii="メイリオ" w:hAnsi="メイリオ" w:eastAsia="メイリオ"/>
          <w:b w:val="1"/>
          <w:sz w:val="28"/>
          <w:u w:val="single" w:color="auto"/>
        </w:rPr>
      </w:pPr>
      <w:bookmarkStart w:id="63" w:name="_Toc59007787"/>
      <w:r>
        <w:rPr>
          <w:rFonts w:hint="eastAsia" w:ascii="メイリオ" w:hAnsi="メイリオ" w:eastAsia="メイリオ"/>
          <w:b w:val="1"/>
          <w:sz w:val="32"/>
          <w:u w:val="single" w:color="auto"/>
        </w:rPr>
        <w:t>１．計画の基本理念</w:t>
      </w:r>
      <w:bookmarkEnd w:id="63"/>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箕面市福祉のまち総合条例（平成８年箕面市条例第８号）は、「福祉社会は、障害のある市民、高齢の市民をはじめとするすべての市民が、一人の人間として尊重され、地域で学び、働き、豊かにいきいきと暮らしていける障壁のない社会でなければならない。」</w:t>
      </w:r>
    </w:p>
    <w:p>
      <w:pPr>
        <w:pStyle w:val="0"/>
        <w:jc w:val="both"/>
        <w:rPr>
          <w:rFonts w:hint="default"/>
          <w:dstrike w:val="1"/>
        </w:rPr>
      </w:pPr>
      <w:r>
        <w:rPr>
          <w:rFonts w:hint="eastAsia"/>
        </w:rPr>
        <w:t>と宣言しています。</w:t>
      </w:r>
    </w:p>
    <w:p>
      <w:pPr>
        <w:pStyle w:val="0"/>
        <w:ind w:firstLine="240" w:firstLineChars="100"/>
        <w:jc w:val="both"/>
        <w:rPr>
          <w:rFonts w:hint="default"/>
        </w:rPr>
      </w:pPr>
      <w:r>
        <w:rPr>
          <w:rFonts w:hint="eastAsia"/>
        </w:rPr>
        <w:t>箕面市高齢者等介護総合条例（平成</w:t>
      </w:r>
      <w:r>
        <w:rPr>
          <w:rFonts w:hint="default"/>
        </w:rPr>
        <w:t>12</w:t>
      </w:r>
      <w:r>
        <w:rPr>
          <w:rFonts w:hint="default"/>
        </w:rPr>
        <w:t>年箕面市条例第</w:t>
      </w:r>
      <w:r>
        <w:rPr>
          <w:rFonts w:hint="default"/>
        </w:rPr>
        <w:t>26</w:t>
      </w:r>
      <w:r>
        <w:rPr>
          <w:rFonts w:hint="default"/>
        </w:rPr>
        <w:t>号）の基本理念には、「</w:t>
      </w:r>
      <w:r>
        <w:rPr>
          <w:rFonts w:hint="eastAsia"/>
        </w:rPr>
        <w:t>全て</w:t>
      </w:r>
      <w:r>
        <w:rPr>
          <w:rFonts w:hint="default"/>
        </w:rPr>
        <w:t>の高齢者等は、個人としてその尊厳が重んじられ、その家族の有無、介護を必要とする状態の程度その他の社会的、経済的、身体的</w:t>
      </w:r>
      <w:r>
        <w:rPr>
          <w:rFonts w:hint="eastAsia"/>
        </w:rPr>
        <w:t>又</w:t>
      </w:r>
      <w:r>
        <w:rPr>
          <w:rFonts w:hint="default"/>
        </w:rPr>
        <w:t>は精神的状態にかかわらず、その尊厳にふさわしい自立した日常生活を営むことができるよう介護サービス及び保健福祉サービスを利用する権利を有し、利用しようとする介護サービス及び保健福祉サービスを自ら選択し、介護サービスを自ら決定する権利を有する。」とされています。</w:t>
      </w:r>
    </w:p>
    <w:p>
      <w:pPr>
        <w:pStyle w:val="0"/>
        <w:ind w:firstLine="240" w:firstLineChars="100"/>
        <w:jc w:val="both"/>
        <w:rPr>
          <w:rFonts w:hint="default"/>
          <w:color w:val="000000" w:themeColor="text1"/>
        </w:rPr>
      </w:pPr>
      <w:r>
        <w:rPr>
          <w:rFonts w:hint="eastAsia"/>
        </w:rPr>
        <w:t>本格的</w:t>
      </w:r>
      <w:r>
        <w:rPr>
          <w:rFonts w:hint="eastAsia"/>
          <w:color w:val="000000" w:themeColor="text1"/>
        </w:rPr>
        <w:t>な超高齢社会の到来をふまえ、これまで取り組んできた「地域包括ケアシステム」体制の構築に加えて、第７期計画から国が目標として設定した「地域共生社会の実現」を進めていく必要があります。地域の医療や介護サービス、地域社会の助け合いなどの様々な地域資源を総動員して、必要なかたに必要な支援が本市の特性に応じて提供される仕組みづくりとあわせて、高齢者に限らず地域のすべての住民を対象とした支え合いの地域づくりを進めることが重要です。</w:t>
      </w:r>
    </w:p>
    <w:p>
      <w:pPr>
        <w:pStyle w:val="0"/>
        <w:ind w:firstLine="240" w:firstLineChars="100"/>
        <w:jc w:val="both"/>
        <w:rPr>
          <w:rFonts w:hint="default"/>
          <w:color w:val="000000" w:themeColor="text1"/>
        </w:rPr>
      </w:pPr>
      <w:r>
        <w:rPr>
          <w:rFonts w:hint="eastAsia"/>
          <w:color w:val="000000" w:themeColor="text1"/>
        </w:rPr>
        <w:t>従って、本計画においても、これまでに引き続き、すべての人々が人権を尊重され、安心して自立した日常生活を送ることができる社会の実現に向け、「ノーマライゼーション</w:t>
      </w:r>
      <w:r>
        <w:rPr>
          <w:rFonts w:hint="eastAsia"/>
          <w:color w:val="000000" w:themeColor="text1"/>
          <w:vertAlign w:val="superscript"/>
        </w:rPr>
        <w:t>※</w:t>
      </w:r>
      <w:r>
        <w:rPr>
          <w:rStyle w:val="42"/>
          <w:rFonts w:hint="eastAsia"/>
          <w:color w:val="000000" w:themeColor="text1"/>
        </w:rPr>
        <w:footnoteReference w:id="10"/>
      </w:r>
      <w:r>
        <w:rPr>
          <w:rFonts w:hint="eastAsia"/>
          <w:color w:val="000000" w:themeColor="text1"/>
        </w:rPr>
        <w:t>社会の実現」を計画の基本理念とします。</w:t>
      </w:r>
    </w:p>
    <w:p>
      <w:pPr>
        <w:pStyle w:val="0"/>
        <w:ind w:firstLine="240" w:firstLineChars="100"/>
        <w:jc w:val="both"/>
        <w:rPr>
          <w:rFonts w:hint="default"/>
        </w:rPr>
      </w:pPr>
      <w:r>
        <w:rPr>
          <w:rFonts w:hint="eastAsia"/>
        </w:rPr>
        <w:t>さらに、第７期計画に引き続き、「介護予防と健康長寿の積極的な推進」が重要な課題となっています。介護などのサポートが必要なかたには必要なサービスを提供し、地域での安心な日常生活を支えるとともに、元気なかたはできる限り要介護・要支援に至ることなく、その元気を維持・増進し、健康で生きがいを持ってはつらつと活躍・活動できる「元気で健康長寿のかたが多い」まちづくりをめざします。</w:t>
      </w:r>
    </w:p>
    <w:p>
      <w:pPr>
        <w:pStyle w:val="0"/>
        <w:ind w:firstLine="240" w:firstLineChars="100"/>
        <w:jc w:val="both"/>
        <w:rPr>
          <w:rFonts w:hint="default"/>
        </w:rPr>
      </w:pPr>
      <w:r>
        <w:rPr>
          <w:rFonts w:hint="eastAsia"/>
        </w:rPr>
        <w:t>そのため、医療や介護、福祉サービスを含めた様々な生活支援サービスが日常生活の場で適切に提供される「地域包括ケアシステムの推進」の取組とあわせて、生涯にわたる健康づくりや生きがいづくりを支援し、社会参加・余暇活動などの機会を強化するなど、「介護予防と健康長寿」を共通のコンセプトとして、市の様々な施策を総合的に推進していきます。</w:t>
      </w: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64" w:name="_Toc59007788"/>
      <w:r>
        <w:rPr>
          <w:rFonts w:hint="eastAsia" w:ascii="メイリオ" w:hAnsi="メイリオ" w:eastAsia="メイリオ"/>
          <w:b w:val="1"/>
          <w:sz w:val="32"/>
          <w:u w:val="single" w:color="auto"/>
        </w:rPr>
        <w:t>２．計画の基本目標</w:t>
      </w:r>
      <w:bookmarkEnd w:id="64"/>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「安全・安心でみんながいきいき暮らすまち」をめざすため、本市の高齢者保健福祉施策の方向性を示す具体的な目標として、第７期計画に引き続き、次の３つを基本目標とします。</w:t>
      </w:r>
    </w:p>
    <w:p>
      <w:pPr>
        <w:pStyle w:val="0"/>
        <w:jc w:val="both"/>
        <w:rPr>
          <w:rFonts w:hint="default"/>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基本目標１</w:t>
      </w:r>
      <w:r>
        <w:rPr>
          <w:rFonts w:hint="eastAsia" w:ascii="ＭＳ ゴシック" w:hAnsi="ＭＳ ゴシック" w:eastAsia="ＭＳ ゴシック"/>
        </w:rPr>
        <w:t>　いきいきとした暮らしの実現</w:t>
      </w:r>
    </w:p>
    <w:p>
      <w:pPr>
        <w:pStyle w:val="0"/>
        <w:ind w:firstLine="240" w:firstLineChars="100"/>
        <w:jc w:val="both"/>
        <w:rPr>
          <w:rFonts w:hint="default"/>
        </w:rPr>
      </w:pPr>
    </w:p>
    <w:p>
      <w:pPr>
        <w:pStyle w:val="0"/>
        <w:ind w:firstLine="240" w:firstLineChars="100"/>
        <w:jc w:val="both"/>
        <w:rPr>
          <w:rFonts w:hint="default"/>
        </w:rPr>
      </w:pPr>
      <w:r>
        <w:rPr>
          <w:rFonts w:hint="eastAsia"/>
        </w:rPr>
        <w:t>高齢者をはじめとするすべての市民が、尊厳を持ち自由な意思に基づき、自発的に社会参加活動を行い、地域のコミュニティとのつながりを持ち、健康の保持・増進に努め、必要なときに必要なサービスを自己選択・自己決定に基づき利用できる「いきいきとした暮らし」の実現をめざします。</w:t>
      </w:r>
    </w:p>
    <w:p>
      <w:pPr>
        <w:pStyle w:val="0"/>
        <w:jc w:val="both"/>
        <w:rPr>
          <w:rFonts w:hint="default"/>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基本目標２</w:t>
      </w:r>
      <w:r>
        <w:rPr>
          <w:rFonts w:hint="eastAsia" w:ascii="ＭＳ ゴシック" w:hAnsi="ＭＳ ゴシック" w:eastAsia="ＭＳ ゴシック"/>
        </w:rPr>
        <w:t>　安心な暮らしの実現</w:t>
      </w:r>
    </w:p>
    <w:p>
      <w:pPr>
        <w:pStyle w:val="0"/>
        <w:ind w:firstLine="240" w:firstLineChars="100"/>
        <w:jc w:val="both"/>
        <w:rPr>
          <w:rFonts w:hint="default"/>
        </w:rPr>
      </w:pPr>
    </w:p>
    <w:p>
      <w:pPr>
        <w:pStyle w:val="0"/>
        <w:ind w:firstLine="240" w:firstLineChars="100"/>
        <w:jc w:val="both"/>
        <w:rPr>
          <w:rFonts w:hint="default"/>
        </w:rPr>
      </w:pPr>
      <w:r>
        <w:rPr>
          <w:rFonts w:hint="eastAsia"/>
        </w:rPr>
        <w:t>高齢者をはじめとするすべての市民が、地域の中で孤立することなく、必要なときに、必要な保健・医療・福祉・介護等のサービスを受けながら、住み慣れた地域で自立した日常生活を継続できる「安心な暮らし」の実現をめざします。</w:t>
      </w:r>
    </w:p>
    <w:p>
      <w:pPr>
        <w:pStyle w:val="0"/>
        <w:jc w:val="both"/>
        <w:rPr>
          <w:rFonts w:hint="default"/>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基本目標３</w:t>
      </w:r>
      <w:r>
        <w:rPr>
          <w:rFonts w:hint="eastAsia" w:ascii="ＭＳ ゴシック" w:hAnsi="ＭＳ ゴシック" w:eastAsia="ＭＳ ゴシック"/>
        </w:rPr>
        <w:t>　支え合う暮らしの実現</w:t>
      </w:r>
    </w:p>
    <w:p>
      <w:pPr>
        <w:pStyle w:val="0"/>
        <w:ind w:firstLine="240" w:firstLineChars="100"/>
        <w:jc w:val="both"/>
        <w:rPr>
          <w:rFonts w:hint="default"/>
        </w:rPr>
      </w:pPr>
    </w:p>
    <w:p>
      <w:pPr>
        <w:pStyle w:val="0"/>
        <w:ind w:firstLine="240" w:firstLineChars="100"/>
        <w:jc w:val="both"/>
        <w:rPr>
          <w:rFonts w:hint="default"/>
        </w:rPr>
      </w:pPr>
      <w:r>
        <w:rPr>
          <w:rFonts w:hint="eastAsia"/>
        </w:rPr>
        <w:t>高齢者をはじめとするすべての市民が、地域で暮らす一人ひとりの多様性を認め合い、地域社会を構成する一員として相互の連帯を深め、助け合うことにより、すべての市民が一人の人間として尊重され、地域で孤立することのない「支え合う暮らし」の実現をめざしま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65" w:name="_Toc59007789"/>
      <w:r>
        <w:rPr>
          <w:rFonts w:hint="eastAsia" w:ascii="メイリオ" w:hAnsi="メイリオ" w:eastAsia="メイリオ"/>
          <w:b w:val="1"/>
          <w:sz w:val="32"/>
          <w:u w:val="single" w:color="auto"/>
        </w:rPr>
        <w:t>３．計画の重点施策</w:t>
      </w:r>
      <w:bookmarkEnd w:id="65"/>
      <w:r>
        <w:rPr>
          <w:rFonts w:hint="eastAsia" w:ascii="メイリオ" w:hAnsi="メイリオ" w:eastAsia="メイリオ"/>
          <w:b w:val="1"/>
          <w:sz w:val="32"/>
          <w:u w:val="single" w:color="auto"/>
        </w:rPr>
        <w:t>　　　　　　　　　　　　　　　　　　　　　　　　　　　　</w:t>
      </w:r>
    </w:p>
    <w:p>
      <w:pPr>
        <w:pStyle w:val="0"/>
        <w:jc w:val="both"/>
        <w:rPr>
          <w:rFonts w:hint="default"/>
          <w:highlight w:val="yellow"/>
        </w:rPr>
      </w:pPr>
      <w:r>
        <w:rPr>
          <w:rFonts w:hint="eastAsia" w:ascii="ＭＳ ゴシック" w:hAnsi="ＭＳ ゴシック" w:eastAsia="ＭＳ ゴシック"/>
          <w:bdr w:val="single" w:color="auto" w:sz="4" w:space="0"/>
        </w:rPr>
        <w:t>重点施策１</w:t>
      </w:r>
      <w:r>
        <w:rPr>
          <w:rFonts w:hint="eastAsia" w:ascii="ＭＳ ゴシック" w:hAnsi="ＭＳ ゴシック" w:eastAsia="ＭＳ ゴシック"/>
        </w:rPr>
        <w:t>　健康で生きがいのある暮らしの推進</w:t>
      </w:r>
    </w:p>
    <w:p>
      <w:pPr>
        <w:pStyle w:val="0"/>
        <w:ind w:left="240" w:hanging="240" w:hangingChars="100"/>
        <w:jc w:val="both"/>
        <w:rPr>
          <w:rFonts w:hint="default"/>
        </w:rPr>
      </w:pPr>
      <w:r>
        <w:rPr>
          <w:rFonts w:hint="eastAsia"/>
        </w:rPr>
        <w:t>○　「保健事業と介護予防事業の一体的実施」による、身近で効果的な健康づくりの推進</w:t>
      </w:r>
    </w:p>
    <w:p>
      <w:pPr>
        <w:pStyle w:val="0"/>
        <w:ind w:left="240" w:hanging="240" w:hangingChars="100"/>
        <w:jc w:val="both"/>
        <w:rPr>
          <w:rFonts w:hint="default"/>
        </w:rPr>
      </w:pPr>
      <w:r>
        <w:rPr>
          <w:rFonts w:hint="eastAsia"/>
        </w:rPr>
        <w:t>○　介護予防・重度化防止の取組の継続と、状態像に応じたアプローチ及び健康意識や介護予防の関心の度合いに応じた段階的アプローチの推進</w:t>
      </w:r>
    </w:p>
    <w:p>
      <w:pPr>
        <w:pStyle w:val="0"/>
        <w:ind w:left="240" w:hanging="240" w:hangingChars="100"/>
        <w:jc w:val="both"/>
        <w:rPr>
          <w:rFonts w:hint="default"/>
        </w:rPr>
      </w:pPr>
      <w:r>
        <w:rPr>
          <w:rFonts w:hint="eastAsia"/>
        </w:rPr>
        <w:t>○　住民主体の介護予防活動の育成・支援の継続、ＰＤＣＡサイクルによる定期的な評価、改善</w:t>
      </w:r>
    </w:p>
    <w:p>
      <w:pPr>
        <w:pStyle w:val="0"/>
        <w:ind w:left="240" w:hanging="240" w:hangingChars="100"/>
        <w:jc w:val="both"/>
        <w:rPr>
          <w:rFonts w:hint="default" w:ascii="ＭＳ ゴシック" w:hAnsi="ＭＳ ゴシック" w:eastAsia="ＭＳ ゴシック"/>
        </w:rPr>
      </w:pPr>
      <w:r>
        <w:rPr>
          <w:rFonts w:hint="eastAsia"/>
        </w:rPr>
        <w:t>○　</w:t>
      </w:r>
      <w:r>
        <w:rPr>
          <w:rFonts w:hint="eastAsia"/>
          <w:highlight w:val="none"/>
        </w:rPr>
        <w:t>文化活動・スポーツ活動・レクリエーション活動などの生涯学習活動による</w:t>
      </w:r>
      <w:r>
        <w:rPr>
          <w:rFonts w:hint="eastAsia"/>
        </w:rPr>
        <w:t>生きがいづくり、交流・仲間づくりの支援及びボランティア活動や就労的活動の促進</w:t>
      </w:r>
    </w:p>
    <w:p>
      <w:pPr>
        <w:pStyle w:val="0"/>
        <w:ind w:left="240" w:hanging="240" w:hangingChars="100"/>
        <w:jc w:val="both"/>
        <w:rPr>
          <w:rFonts w:hint="default" w:ascii="ＭＳ ゴシック" w:hAnsi="ＭＳ ゴシック" w:eastAsia="ＭＳ ゴシック"/>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重点施策２</w:t>
      </w:r>
      <w:r>
        <w:rPr>
          <w:rFonts w:hint="eastAsia" w:ascii="ＭＳ ゴシック" w:hAnsi="ＭＳ ゴシック" w:eastAsia="ＭＳ ゴシック"/>
        </w:rPr>
        <w:t>　地域包括ケアシステムの推進</w:t>
      </w:r>
    </w:p>
    <w:p>
      <w:pPr>
        <w:pStyle w:val="0"/>
        <w:ind w:left="240" w:hanging="240" w:hangingChars="100"/>
        <w:jc w:val="both"/>
        <w:rPr>
          <w:rFonts w:hint="default" w:ascii="ＭＳ ゴシック" w:hAnsi="ＭＳ ゴシック" w:eastAsia="ＭＳ ゴシック"/>
        </w:rPr>
      </w:pPr>
      <w:r>
        <w:rPr>
          <w:rFonts w:hint="eastAsia"/>
        </w:rPr>
        <w:t>○　地域での困りごとを我が事と受け止める意識の醸成、多様な住民による支え合う地域づくりをめざした地域包括ケアシステムの推進</w:t>
      </w:r>
    </w:p>
    <w:p>
      <w:pPr>
        <w:pStyle w:val="0"/>
        <w:ind w:left="240" w:hanging="240" w:hangingChars="100"/>
        <w:jc w:val="both"/>
        <w:rPr>
          <w:rFonts w:hint="default" w:ascii="ＭＳ ゴシック" w:hAnsi="ＭＳ ゴシック" w:eastAsia="ＭＳ ゴシック"/>
        </w:rPr>
      </w:pPr>
      <w:r>
        <w:rPr>
          <w:rFonts w:hint="eastAsia"/>
        </w:rPr>
        <w:t>○　基幹型、機能強化型、従来型の３つの機能を担う地域包括支援センターの体制・機能強化と、地域ケア会議を活用した地域課題の把握と地域づくり</w:t>
      </w:r>
    </w:p>
    <w:p>
      <w:pPr>
        <w:pStyle w:val="0"/>
        <w:ind w:left="240" w:hanging="240" w:hangingChars="100"/>
        <w:jc w:val="both"/>
        <w:rPr>
          <w:rFonts w:hint="default"/>
        </w:rPr>
      </w:pPr>
      <w:r>
        <w:rPr>
          <w:rFonts w:hint="eastAsia"/>
        </w:rPr>
        <w:t>○　生活支援コーディネーターによる高齢者の生活支援・介護予防サービス提供体制の充実</w:t>
      </w:r>
    </w:p>
    <w:p>
      <w:pPr>
        <w:pStyle w:val="0"/>
        <w:ind w:left="240" w:hanging="240" w:hangingChars="100"/>
        <w:jc w:val="both"/>
        <w:rPr>
          <w:rFonts w:hint="default"/>
        </w:rPr>
      </w:pPr>
      <w:r>
        <w:rPr>
          <w:rFonts w:hint="eastAsia"/>
        </w:rPr>
        <w:t>○　在宅医療コーディネート機能の充実による在宅医療と介護の連携強化、大阪府地域医療構想の影響に伴い今後増加する、介護サービス提供体制の整備</w:t>
      </w:r>
    </w:p>
    <w:p>
      <w:pPr>
        <w:pStyle w:val="0"/>
        <w:ind w:left="240" w:hanging="240" w:hangingChars="100"/>
        <w:jc w:val="both"/>
        <w:rPr>
          <w:rFonts w:hint="default"/>
        </w:rPr>
      </w:pPr>
      <w:r>
        <w:rPr>
          <w:rFonts w:hint="eastAsia"/>
        </w:rPr>
        <w:t>○　高齢者の虐待防止策の推進、権利擁護を推進する各種制度の活用促進</w:t>
      </w:r>
    </w:p>
    <w:p>
      <w:pPr>
        <w:pStyle w:val="0"/>
        <w:ind w:left="240" w:hanging="240" w:hangingChars="100"/>
        <w:rPr>
          <w:rFonts w:hint="default"/>
          <w:highlight w:val="yellow"/>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重点施策３</w:t>
      </w:r>
      <w:r>
        <w:rPr>
          <w:rFonts w:hint="eastAsia" w:ascii="ＭＳ ゴシック" w:hAnsi="ＭＳ ゴシック" w:eastAsia="ＭＳ ゴシック"/>
        </w:rPr>
        <w:t>　認知症高齢者支援策の充実</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w:t>
      </w:r>
      <w:r>
        <w:rPr>
          <w:rFonts w:hint="default"/>
        </w:rPr>
        <w:t>認知症</w:t>
      </w:r>
      <w:r>
        <w:rPr>
          <w:rFonts w:hint="eastAsia"/>
        </w:rPr>
        <w:t>に関する正しい情報の普及</w:t>
      </w:r>
      <w:r>
        <w:rPr>
          <w:rFonts w:hint="default"/>
        </w:rPr>
        <w:t>啓発や健康教育</w:t>
      </w:r>
      <w:r>
        <w:rPr>
          <w:rFonts w:hint="eastAsia"/>
        </w:rPr>
        <w:t>、生活習慣病対策、</w:t>
      </w:r>
      <w:r>
        <w:rPr>
          <w:rFonts w:hint="default"/>
        </w:rPr>
        <w:t>認知症予防</w:t>
      </w:r>
      <w:r>
        <w:rPr>
          <w:rFonts w:hint="eastAsia"/>
        </w:rPr>
        <w:t>推進員の養成、認知症予防自主グループへの支援などによる認知症予防と啓発の推進</w:t>
      </w:r>
    </w:p>
    <w:p>
      <w:pPr>
        <w:pStyle w:val="0"/>
        <w:tabs>
          <w:tab w:val="left" w:leader="none" w:pos="360"/>
        </w:tabs>
        <w:autoSpaceDE w:val="0"/>
        <w:autoSpaceDN w:val="0"/>
        <w:adjustRightInd w:val="0"/>
        <w:ind w:left="240" w:hanging="240" w:hangingChars="100"/>
        <w:jc w:val="both"/>
        <w:rPr>
          <w:rFonts w:hint="default"/>
        </w:rPr>
      </w:pPr>
      <w:r>
        <w:rPr>
          <w:rFonts w:hint="default"/>
        </w:rPr>
        <w:t>○</w:t>
      </w:r>
      <w:r>
        <w:rPr>
          <w:rFonts w:hint="eastAsia"/>
        </w:rPr>
        <w:t>　認知機能の低下サインへの気づきの促し、医療機関や地域包括支援センターへのつなぎ、</w:t>
      </w:r>
      <w:r>
        <w:rPr>
          <w:rFonts w:hint="default"/>
        </w:rPr>
        <w:t>認知症初期集中支援チーム</w:t>
      </w:r>
      <w:r>
        <w:rPr>
          <w:rFonts w:hint="eastAsia"/>
        </w:rPr>
        <w:t>などによる認知症の</w:t>
      </w:r>
      <w:r>
        <w:rPr>
          <w:rFonts w:hint="default"/>
        </w:rPr>
        <w:t>早期</w:t>
      </w:r>
      <w:r>
        <w:rPr>
          <w:rFonts w:hint="eastAsia"/>
        </w:rPr>
        <w:t>発見・早期対応の推進</w:t>
      </w:r>
    </w:p>
    <w:p>
      <w:pPr>
        <w:pStyle w:val="0"/>
        <w:ind w:left="240" w:hanging="240" w:hangingChars="100"/>
        <w:jc w:val="both"/>
        <w:rPr>
          <w:rFonts w:hint="default" w:ascii="ＭＳ ゴシック" w:hAnsi="ＭＳ ゴシック" w:eastAsia="ＭＳ ゴシック"/>
        </w:rPr>
      </w:pPr>
      <w:r>
        <w:rPr>
          <w:rFonts w:hint="default"/>
        </w:rPr>
        <w:t>○</w:t>
      </w:r>
      <w:r>
        <w:rPr>
          <w:rFonts w:hint="eastAsia"/>
        </w:rPr>
        <w:t>　ひとり歩き・行方不明対策、</w:t>
      </w:r>
      <w:r>
        <w:rPr>
          <w:rFonts w:hint="default"/>
        </w:rPr>
        <w:t>認知症サポーター等</w:t>
      </w:r>
      <w:r>
        <w:rPr>
          <w:rFonts w:hint="eastAsia"/>
        </w:rPr>
        <w:t>の</w:t>
      </w:r>
      <w:r>
        <w:rPr>
          <w:rFonts w:hint="default"/>
        </w:rPr>
        <w:t>養成、</w:t>
      </w:r>
      <w:r>
        <w:rPr>
          <w:rFonts w:hint="eastAsia"/>
        </w:rPr>
        <w:t>認知症のかたの交流場所の確保、家族介護者支援などによる認知症高齢者の</w:t>
      </w:r>
      <w:r>
        <w:rPr>
          <w:rFonts w:hint="default"/>
        </w:rPr>
        <w:t>地域の見守り</w:t>
      </w:r>
      <w:r>
        <w:rPr>
          <w:rFonts w:hint="eastAsia"/>
        </w:rPr>
        <w:t>・支援</w:t>
      </w:r>
      <w:r>
        <w:rPr>
          <w:rFonts w:hint="default"/>
        </w:rPr>
        <w:t>体制</w:t>
      </w:r>
      <w:r>
        <w:rPr>
          <w:rFonts w:hint="eastAsia"/>
        </w:rPr>
        <w:t>の充実</w:t>
      </w:r>
    </w:p>
    <w:p>
      <w:pPr>
        <w:pStyle w:val="0"/>
        <w:rPr>
          <w:rFonts w:hint="default" w:ascii="ＭＳ ゴシック" w:hAnsi="ＭＳ ゴシック" w:eastAsia="ＭＳ ゴシック"/>
        </w:rPr>
      </w:pPr>
    </w:p>
    <w:p>
      <w:pPr>
        <w:pStyle w:val="0"/>
        <w:rPr>
          <w:rFonts w:hint="default" w:ascii="ＭＳ ゴシック" w:hAnsi="ＭＳ ゴシック" w:eastAsia="ＭＳ ゴシック"/>
          <w:highlight w:val="yellow"/>
        </w:rPr>
      </w:pPr>
      <w:r>
        <w:rPr>
          <w:rFonts w:hint="eastAsia" w:ascii="ＭＳ ゴシック" w:hAnsi="ＭＳ ゴシック" w:eastAsia="ＭＳ ゴシック"/>
          <w:bdr w:val="single" w:color="auto" w:sz="4" w:space="0"/>
        </w:rPr>
        <w:t>重点施策４</w:t>
      </w:r>
      <w:r>
        <w:rPr>
          <w:rFonts w:hint="eastAsia" w:ascii="ＭＳ ゴシック" w:hAnsi="ＭＳ ゴシック" w:eastAsia="ＭＳ ゴシック"/>
        </w:rPr>
        <w:t>　介護サービスの質の確保・向上と適正・円滑な運営</w:t>
      </w:r>
    </w:p>
    <w:p>
      <w:pPr>
        <w:pStyle w:val="0"/>
        <w:ind w:left="240" w:hanging="240" w:hangingChars="100"/>
        <w:jc w:val="both"/>
        <w:rPr>
          <w:rFonts w:hint="default"/>
        </w:rPr>
      </w:pPr>
      <w:r>
        <w:rPr>
          <w:rFonts w:hint="eastAsia"/>
        </w:rPr>
        <w:t>○　高齢者一人ひとりの状態に応じた適切な介護サービスの提供、地域密着型サービスなどの介護サービス基盤の充実</w:t>
      </w:r>
    </w:p>
    <w:p>
      <w:pPr>
        <w:pStyle w:val="0"/>
        <w:ind w:left="240" w:hanging="240" w:hangingChars="100"/>
        <w:jc w:val="both"/>
        <w:rPr>
          <w:rFonts w:hint="default" w:ascii="ＭＳ ゴシック" w:hAnsi="ＭＳ ゴシック" w:eastAsia="ＭＳ ゴシック"/>
        </w:rPr>
      </w:pPr>
      <w:r>
        <w:rPr>
          <w:rFonts w:hint="eastAsia"/>
        </w:rPr>
        <w:t>○　介護サービス事業者への適切な指導・助言、事業者間の相互連携の支援、各種研修情報の提供等による介護サービスの質の向上、介護人材確保や業務効率化の取組の推進</w:t>
      </w:r>
    </w:p>
    <w:p>
      <w:pPr>
        <w:pStyle w:val="0"/>
        <w:ind w:left="240" w:hanging="240" w:hangingChars="100"/>
        <w:jc w:val="both"/>
        <w:rPr>
          <w:rFonts w:hint="default" w:ascii="ＭＳ ゴシック" w:hAnsi="ＭＳ ゴシック" w:eastAsia="ＭＳ ゴシック"/>
        </w:rPr>
      </w:pPr>
      <w:r>
        <w:rPr>
          <w:rFonts w:hint="eastAsia"/>
        </w:rPr>
        <w:t>○　関係機関との連携強化の推進、総合相談から適切な専門機関につなぐ相談体制の充実、利用者や事業者にとってわかりやすく迅速な情報提供</w:t>
      </w:r>
    </w:p>
    <w:p>
      <w:pPr>
        <w:pStyle w:val="0"/>
        <w:ind w:left="240" w:hanging="240" w:hangingChars="100"/>
        <w:jc w:val="both"/>
        <w:rPr>
          <w:rFonts w:hint="default" w:ascii="ＭＳ ゴシック" w:hAnsi="ＭＳ ゴシック" w:eastAsia="ＭＳ ゴシック"/>
        </w:rPr>
      </w:pPr>
      <w:r>
        <w:rPr>
          <w:rFonts w:hint="eastAsia"/>
        </w:rPr>
        <w:t>○　介護給付の適正化の推進、実績評価や改善・見直し等のＰＤＣＡサイクルの推進</w:t>
      </w:r>
    </w:p>
    <w:p>
      <w:pPr>
        <w:pStyle w:val="0"/>
        <w:jc w:val="both"/>
        <w:rPr>
          <w:rFonts w:hint="default" w:ascii="ＭＳ ゴシック" w:hAnsi="ＭＳ ゴシック" w:eastAsia="ＭＳ ゴシック"/>
          <w:highlight w:val="yellow"/>
        </w:rPr>
      </w:pPr>
    </w:p>
    <w:p>
      <w:pPr>
        <w:pStyle w:val="0"/>
        <w:jc w:val="both"/>
        <w:rPr>
          <w:rFonts w:hint="default" w:ascii="ＭＳ ゴシック" w:hAnsi="ＭＳ ゴシック" w:eastAsia="ＭＳ ゴシック"/>
        </w:rPr>
      </w:pPr>
      <w:r>
        <w:rPr>
          <w:rFonts w:hint="eastAsia" w:ascii="ＭＳ ゴシック" w:hAnsi="ＭＳ ゴシック" w:eastAsia="ＭＳ ゴシック"/>
          <w:bdr w:val="single" w:color="auto" w:sz="4" w:space="0"/>
        </w:rPr>
        <w:t>重点施策５</w:t>
      </w:r>
      <w:r>
        <w:rPr>
          <w:rFonts w:hint="eastAsia" w:ascii="ＭＳ ゴシック" w:hAnsi="ＭＳ ゴシック" w:eastAsia="ＭＳ ゴシック"/>
        </w:rPr>
        <w:t>　安全・安心のまちづくりの推進</w:t>
      </w:r>
    </w:p>
    <w:p>
      <w:pPr>
        <w:pStyle w:val="0"/>
        <w:ind w:left="240" w:hanging="240" w:hangingChars="100"/>
        <w:jc w:val="both"/>
        <w:rPr>
          <w:rFonts w:hint="default"/>
        </w:rPr>
      </w:pPr>
      <w:r>
        <w:rPr>
          <w:rFonts w:hint="eastAsia"/>
        </w:rPr>
        <w:t>○　バリアフリー化や、ユニバーサルデザインに基づいた整備の推進、誰もが安全に安心して生活できる障壁のないまちづくりの推進</w:t>
      </w:r>
    </w:p>
    <w:p>
      <w:pPr>
        <w:pStyle w:val="0"/>
        <w:ind w:left="240" w:hanging="240" w:hangingChars="100"/>
        <w:jc w:val="both"/>
        <w:rPr>
          <w:rFonts w:hint="default"/>
        </w:rPr>
      </w:pPr>
      <w:r>
        <w:rPr>
          <w:rFonts w:hint="eastAsia"/>
        </w:rPr>
        <w:t>○　住宅改修等に関する相談・支援の充実、サービス付き高齢者向け住宅や有料老人ホームの状況把握と適切なサービス利用等の促進</w:t>
      </w:r>
    </w:p>
    <w:p>
      <w:pPr>
        <w:pStyle w:val="0"/>
        <w:ind w:left="240" w:hanging="240" w:hangingChars="100"/>
        <w:jc w:val="both"/>
        <w:rPr>
          <w:rFonts w:hint="default"/>
        </w:rPr>
      </w:pPr>
      <w:r>
        <w:rPr>
          <w:rFonts w:hint="eastAsia"/>
        </w:rPr>
        <w:t>○　関係機関や庁内関係部署等との連携による、地域における防災や災害時支援、感染症対策の取組の推進</w:t>
      </w:r>
    </w:p>
    <w:p>
      <w:pPr>
        <w:pStyle w:val="0"/>
        <w:jc w:val="both"/>
        <w:rPr>
          <w:rFonts w:hint="default"/>
        </w:rPr>
      </w:pPr>
    </w:p>
    <w:p>
      <w:pPr>
        <w:pStyle w:val="0"/>
        <w:rPr>
          <w:rFonts w:hint="default"/>
        </w:rPr>
      </w:pP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66" w:name="_Toc59007790"/>
      <w:r>
        <w:rPr>
          <w:rFonts w:hint="eastAsia" w:ascii="メイリオ" w:hAnsi="メイリオ" w:eastAsia="メイリオ"/>
          <w:b w:val="1"/>
          <w:sz w:val="32"/>
          <w:u w:val="single" w:color="auto"/>
        </w:rPr>
        <w:t>４．計画の施策体系</w:t>
      </w:r>
      <w:bookmarkEnd w:id="66"/>
      <w:r>
        <w:rPr>
          <w:rFonts w:hint="eastAsia" w:ascii="メイリオ" w:hAnsi="メイリオ" w:eastAsia="メイリオ"/>
          <w:b w:val="1"/>
          <w:sz w:val="32"/>
          <w:u w:val="single" w:color="auto"/>
        </w:rPr>
        <w:t>　　　　　　　　　　　　　　　　　　　　　　　　　　　　</w:t>
      </w:r>
    </w:p>
    <w:p>
      <w:pPr>
        <w:pStyle w:val="0"/>
        <w:rPr>
          <w:rFonts w:hint="default"/>
        </w:rPr>
      </w:pPr>
    </w:p>
    <w:tbl>
      <w:tblPr>
        <w:tblStyle w:val="11"/>
        <w:tblW w:w="10060" w:type="dxa"/>
        <w:tblInd w:w="104" w:type="dxa"/>
        <w:tblLayout w:type="fixed"/>
        <w:tblCellMar>
          <w:left w:w="99" w:type="dxa"/>
          <w:right w:w="99" w:type="dxa"/>
        </w:tblCellMar>
        <w:tblLook w:firstRow="1" w:lastRow="0" w:firstColumn="1" w:lastColumn="0" w:noHBand="0" w:noVBand="1" w:val="04A0"/>
      </w:tblPr>
      <w:tblGrid>
        <w:gridCol w:w="669"/>
        <w:gridCol w:w="720"/>
        <w:gridCol w:w="731"/>
        <w:gridCol w:w="2695"/>
        <w:gridCol w:w="5245"/>
      </w:tblGrid>
      <w:tr>
        <w:trPr>
          <w:trHeight w:val="542" w:hRule="atLeast"/>
        </w:trPr>
        <w:tc>
          <w:tcPr>
            <w:tcW w:w="6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BFBFBF"/>
            <w:vAlign w:val="center"/>
          </w:tcPr>
          <w:p>
            <w:pPr>
              <w:pStyle w:val="0"/>
              <w:snapToGrid w:val="0"/>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基本</w:t>
            </w:r>
            <w:r>
              <w:rPr>
                <w:rFonts w:hint="eastAsia" w:ascii="ＭＳ ゴシック" w:hAnsi="ＭＳ ゴシック" w:eastAsia="ＭＳ ゴシック"/>
                <w:color w:val="000000" w:themeColor="text1"/>
                <w:sz w:val="20"/>
              </w:rPr>
              <w:br w:type="textWrapping" w:clear="none"/>
            </w:r>
            <w:r>
              <w:rPr>
                <w:rFonts w:hint="eastAsia" w:ascii="ＭＳ ゴシック" w:hAnsi="ＭＳ ゴシック" w:eastAsia="ＭＳ ゴシック"/>
                <w:color w:val="000000" w:themeColor="text1"/>
                <w:sz w:val="20"/>
              </w:rPr>
              <w:t>理念</w:t>
            </w:r>
          </w:p>
        </w:tc>
        <w:tc>
          <w:tcPr>
            <w:tcW w:w="1451" w:type="dxa"/>
            <w:gridSpan w:val="2"/>
            <w:tcBorders>
              <w:top w:val="single" w:color="auto" w:sz="4" w:space="0"/>
              <w:left w:val="nil"/>
              <w:bottom w:val="single" w:color="auto" w:sz="4" w:space="0"/>
              <w:right w:val="single" w:color="000000" w:sz="4" w:space="0"/>
              <w:tl2br w:val="none" w:color="auto" w:sz="0" w:space="0"/>
              <w:tr2bl w:val="none" w:color="auto" w:sz="0" w:space="0"/>
            </w:tcBorders>
            <w:shd w:val="clear" w:color="000000" w:fill="BFBFBF"/>
            <w:vAlign w:val="center"/>
          </w:tcPr>
          <w:p>
            <w:pPr>
              <w:pStyle w:val="0"/>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基本目標</w:t>
            </w:r>
          </w:p>
        </w:tc>
        <w:tc>
          <w:tcPr>
            <w:tcW w:w="269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BFBFBF"/>
            <w:vAlign w:val="center"/>
          </w:tcPr>
          <w:p>
            <w:pPr>
              <w:pStyle w:val="0"/>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重点施策</w:t>
            </w: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BFBFBF"/>
            <w:vAlign w:val="center"/>
          </w:tcPr>
          <w:p>
            <w:pPr>
              <w:pStyle w:val="0"/>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施策・事業の内容</w:t>
            </w:r>
          </w:p>
        </w:tc>
      </w:tr>
      <w:tr>
        <w:trPr>
          <w:cantSplit/>
          <w:trHeight w:val="512" w:hRule="atLeast"/>
        </w:trPr>
        <w:tc>
          <w:tcPr>
            <w:tcW w:w="669"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jc w:val="center"/>
              <w:rPr>
                <w:rFonts w:hint="default" w:ascii="ＭＳ ゴシック" w:hAnsi="ＭＳ ゴシック" w:eastAsia="ＭＳ ゴシック"/>
                <w:color w:val="C00000"/>
              </w:rPr>
            </w:pPr>
            <w:r>
              <w:rPr>
                <w:rFonts w:hint="eastAsia" w:ascii="ＭＳ ゴシック" w:hAnsi="ＭＳ ゴシック" w:eastAsia="ＭＳ ゴシック"/>
                <w:color w:val="000000" w:themeColor="text1"/>
              </w:rPr>
              <w:t>ノーマライゼーション社会の実現</w:t>
            </w:r>
          </w:p>
        </w:tc>
        <w:tc>
          <w:tcPr>
            <w:tcW w:w="720"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snapToGrid w:val="0"/>
              <w:spacing w:line="240" w:lineRule="exact"/>
              <w:jc w:val="center"/>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いきいきとした</w:t>
            </w:r>
          </w:p>
          <w:p>
            <w:pPr>
              <w:pStyle w:val="0"/>
              <w:snapToGrid w:val="0"/>
              <w:spacing w:line="240" w:lineRule="exact"/>
              <w:jc w:val="center"/>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暮らしの実現</w:t>
            </w:r>
          </w:p>
        </w:tc>
        <w:tc>
          <w:tcPr>
            <w:tcW w:w="731" w:type="dxa"/>
            <w:vMerge w:val="restart"/>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jc w:val="center"/>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支え合う暮らしの実現</w:t>
            </w:r>
          </w:p>
        </w:tc>
        <w:tc>
          <w:tcPr>
            <w:tcW w:w="2695"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１．健康で生きがいの</w:t>
            </w:r>
          </w:p>
          <w:p>
            <w:pPr>
              <w:pStyle w:val="0"/>
              <w:ind w:firstLine="420" w:firstLineChars="2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ある暮らしの推進</w:t>
            </w:r>
          </w:p>
        </w:tc>
        <w:tc>
          <w:tcPr>
            <w:tcW w:w="5245"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（１）健康づくりと生活習慣病予防の推進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（２）自立支援、介護予防・重度化防止の推進</w:t>
            </w:r>
          </w:p>
        </w:tc>
      </w:tr>
      <w:tr>
        <w:trPr>
          <w:trHeight w:val="511"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（３）一般介護予防事業の推進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il"/>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sz w:val="21"/>
              </w:rPr>
              <w:t>（４）生きがい支援の充実、社会参加・参画の促進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rPr>
            </w:pPr>
            <w:r>
              <w:rPr>
                <w:rFonts w:hint="eastAsia" w:ascii="ＭＳ ゴシック" w:hAnsi="ＭＳ ゴシック" w:eastAsia="ＭＳ ゴシック"/>
                <w:color w:val="000000" w:themeColor="text1"/>
              </w:rPr>
              <w:t>安心な暮らしの実現</w:t>
            </w: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restart"/>
            <w:tcBorders>
              <w:top w:val="single" w:color="auto" w:sz="4" w:space="0"/>
              <w:left w:val="single" w:color="auto" w:sz="4" w:space="0"/>
              <w:bottom w:val="nil"/>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２．地域包括ケア</w:t>
            </w:r>
          </w:p>
          <w:p>
            <w:pPr>
              <w:pStyle w:val="0"/>
              <w:ind w:firstLine="420" w:firstLineChars="200"/>
              <w:rPr>
                <w:rFonts w:hint="default"/>
              </w:rPr>
            </w:pPr>
            <w:r>
              <w:rPr>
                <w:rFonts w:hint="eastAsia" w:ascii="ＭＳ ゴシック" w:hAnsi="ＭＳ ゴシック" w:eastAsia="ＭＳ ゴシック"/>
                <w:color w:val="000000" w:themeColor="text1"/>
                <w:sz w:val="21"/>
              </w:rPr>
              <w:t>システムの推進</w:t>
            </w:r>
          </w:p>
        </w:tc>
        <w:tc>
          <w:tcPr>
            <w:tcW w:w="52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（１）地域共生社会と地域包括ケアシステムの関係性</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il"/>
              <w:left w:val="single" w:color="auto" w:sz="4" w:space="0"/>
              <w:bottom w:val="none" w:color="auto" w:sz="0"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rPr>
                <w:rFonts w:hint="default"/>
              </w:rPr>
            </w:pPr>
          </w:p>
        </w:tc>
        <w:tc>
          <w:tcPr>
            <w:tcW w:w="5245"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（２）地域包括支援センターの機能・体制強化</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（３）総合事業の推進</w:t>
            </w:r>
          </w:p>
        </w:tc>
      </w:tr>
      <w:tr>
        <w:trPr>
          <w:trHeight w:val="511"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（４）生活支援体制整備の推進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rPr>
            </w:pPr>
          </w:p>
        </w:tc>
        <w:tc>
          <w:tcPr>
            <w:tcW w:w="52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sz w:val="21"/>
              </w:rPr>
              <w:t>（５）在宅医療と介護の連携強化</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rPr>
            </w:pPr>
          </w:p>
        </w:tc>
        <w:tc>
          <w:tcPr>
            <w:tcW w:w="52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sz w:val="21"/>
              </w:rPr>
              <w:t>（６）権利擁護の推進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３．認知症高齢者</w:t>
            </w:r>
          </w:p>
          <w:p>
            <w:pPr>
              <w:pStyle w:val="0"/>
              <w:ind w:firstLine="420" w:firstLineChars="2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支援策の充実</w:t>
            </w: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（１）認知症予防と啓発の推進</w:t>
            </w:r>
          </w:p>
        </w:tc>
      </w:tr>
      <w:tr>
        <w:trPr>
          <w:trHeight w:val="511"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（２）認知症の早期発見・早期対応の推進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（３）認知症高齢者の見守り・支援体制の強化</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restart"/>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４．介護サービスの</w:t>
            </w:r>
          </w:p>
          <w:p>
            <w:pPr>
              <w:pStyle w:val="0"/>
              <w:ind w:firstLine="420" w:firstLineChars="2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質の確保・向上と</w:t>
            </w:r>
          </w:p>
          <w:p>
            <w:pPr>
              <w:pStyle w:val="0"/>
              <w:ind w:firstLine="420" w:firstLineChars="2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適正・円滑な運営</w:t>
            </w:r>
          </w:p>
        </w:tc>
        <w:tc>
          <w:tcPr>
            <w:tcW w:w="52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（１）介護サービスの提供</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tc>
        <w:tc>
          <w:tcPr>
            <w:tcW w:w="5245"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（２）介護サービスの基盤の充実と質の確保・向上</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（３）包括的な相談支援体制等の充実</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nil"/>
              <w:left w:val="single" w:color="auto" w:sz="4" w:space="0"/>
              <w:bottom w:val="nil"/>
              <w:right w:val="single" w:color="auto" w:sz="4" w:space="0"/>
              <w:tl2br w:val="none" w:color="auto" w:sz="0" w:space="0"/>
              <w:tr2bl w:val="none" w:color="auto" w:sz="0" w:space="0"/>
            </w:tcBorders>
            <w:vAlign w:val="center"/>
          </w:tcPr>
          <w:p>
            <w:pPr>
              <w:pStyle w:val="0"/>
              <w:rPr>
                <w:rFonts w:hint="default" w:ascii="ＭＳ ゴシック" w:hAnsi="ＭＳ ゴシック" w:eastAsia="ＭＳ ゴシック"/>
                <w:color w:val="000000" w:themeColor="text1"/>
                <w:sz w:val="21"/>
              </w:rPr>
            </w:pP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（４）介護保険事業の適正かつ円滑な運営</w:t>
            </w:r>
          </w:p>
        </w:tc>
      </w:tr>
      <w:tr>
        <w:trPr>
          <w:trHeight w:val="511"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000000" w:fill="FFFFFF"/>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restart"/>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５．安全・安心のまち</w:t>
            </w:r>
          </w:p>
          <w:p>
            <w:pPr>
              <w:pStyle w:val="0"/>
              <w:ind w:firstLine="420" w:firstLineChars="20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づくりの推進</w:t>
            </w:r>
          </w:p>
        </w:tc>
        <w:tc>
          <w:tcPr>
            <w:tcW w:w="5245"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（１）福祉のまちづくりの推進</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000000" w:fill="FFFFFF"/>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524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（２）高齢者の住環境の整備</w:t>
            </w:r>
          </w:p>
        </w:tc>
      </w:tr>
      <w:tr>
        <w:trPr>
          <w:trHeight w:val="512" w:hRule="atLeast"/>
        </w:trPr>
        <w:tc>
          <w:tcPr>
            <w:tcW w:w="669" w:type="dxa"/>
            <w:vMerge w:val="continue"/>
            <w:tcBorders>
              <w:top w:val="nil"/>
              <w:left w:val="single" w:color="auto" w:sz="4" w:space="0"/>
              <w:bottom w:val="single" w:color="000000" w:sz="4" w:space="0"/>
              <w:right w:val="single" w:color="auto" w:sz="4" w:space="0"/>
              <w:tl2br w:val="none" w:color="auto" w:sz="0" w:space="0"/>
              <w:tr2bl w:val="none" w:color="auto" w:sz="0" w:space="0"/>
            </w:tcBorders>
            <w:textDirection w:val="tbRlV"/>
            <w:vAlign w:val="center"/>
          </w:tcPr>
          <w:p>
            <w:pPr>
              <w:pStyle w:val="0"/>
              <w:rPr>
                <w:rFonts w:hint="default"/>
              </w:rPr>
            </w:pPr>
          </w:p>
        </w:tc>
        <w:tc>
          <w:tcPr>
            <w:tcW w:w="72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000000" w:fill="FFFFFF"/>
            <w:textDirection w:val="tbRlV"/>
            <w:vAlign w:val="center"/>
          </w:tcPr>
          <w:p>
            <w:pPr>
              <w:pStyle w:val="0"/>
              <w:rPr>
                <w:rFonts w:hint="default"/>
              </w:rPr>
            </w:pPr>
          </w:p>
        </w:tc>
        <w:tc>
          <w:tcPr>
            <w:tcW w:w="731" w:type="dxa"/>
            <w:vMerge w:val="continue"/>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textDirection w:val="tbRlV"/>
            <w:vAlign w:val="center"/>
          </w:tcPr>
          <w:p>
            <w:pPr>
              <w:pStyle w:val="0"/>
              <w:rPr>
                <w:rFonts w:hint="default"/>
              </w:rPr>
            </w:pPr>
          </w:p>
        </w:tc>
        <w:tc>
          <w:tcPr>
            <w:tcW w:w="2695" w:type="dxa"/>
            <w:vMerge w:val="continue"/>
            <w:tcBorders>
              <w:top w:val="single" w:color="auto"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rPr>
                <w:rFonts w:hint="default"/>
              </w:rPr>
            </w:pPr>
          </w:p>
        </w:tc>
        <w:tc>
          <w:tcPr>
            <w:tcW w:w="52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ＭＳ ゴシック" w:hAnsi="ＭＳ ゴシック" w:eastAsia="ＭＳ ゴシック"/>
                <w:color w:val="000000" w:themeColor="text1"/>
                <w:sz w:val="21"/>
              </w:rPr>
            </w:pPr>
            <w:r>
              <w:rPr>
                <w:rFonts w:hint="eastAsia" w:ascii="ＭＳ ゴシック" w:hAnsi="ＭＳ ゴシック" w:eastAsia="ＭＳ ゴシック"/>
                <w:color w:val="000000" w:themeColor="text1"/>
                <w:sz w:val="21"/>
              </w:rPr>
              <w:t>（３）災害や感染症対策に係る高齢者支援体制の確立</w:t>
            </w:r>
          </w:p>
        </w:tc>
      </w:tr>
    </w:tbl>
    <w:p>
      <w:pPr>
        <w:pStyle w:val="0"/>
        <w:rPr>
          <w:rFonts w:hint="default"/>
        </w:rPr>
      </w:pP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2"/>
        <w:rPr>
          <w:rFonts w:hint="default"/>
        </w:rPr>
      </w:pPr>
      <w:bookmarkStart w:id="67" w:name="_Toc59007791"/>
      <w:r>
        <w:rPr>
          <w:rFonts w:hint="default"/>
        </w:rPr>
        <w:drawing>
          <wp:anchor distT="0" distB="0" distL="114300" distR="114300" simplePos="0" relativeHeight="125" behindDoc="0" locked="0" layoutInCell="1" hidden="0" allowOverlap="1">
            <wp:simplePos x="0" y="0"/>
            <wp:positionH relativeFrom="column">
              <wp:posOffset>0</wp:posOffset>
            </wp:positionH>
            <wp:positionV relativeFrom="paragraph">
              <wp:posOffset>-431800</wp:posOffset>
            </wp:positionV>
            <wp:extent cx="6188710" cy="837565"/>
            <wp:effectExtent l="0" t="0" r="0" b="0"/>
            <wp:wrapNone/>
            <wp:docPr id="1127" name="4章.bmp" descr="テキスト が含まれている画像&#10;&#10;自動的に生成された説明"/>
            <a:graphic xmlns:a="http://schemas.openxmlformats.org/drawingml/2006/main">
              <a:graphicData uri="http://schemas.openxmlformats.org/drawingml/2006/picture">
                <pic:pic xmlns:pic="http://schemas.openxmlformats.org/drawingml/2006/picture">
                  <pic:nvPicPr>
                    <pic:cNvPr id="1127" name="4章.bmp" descr="テキスト が含まれている画像&#10;&#10;自動的に生成された説明"/>
                    <pic:cNvPicPr/>
                  </pic:nvPicPr>
                  <pic:blipFill>
                    <a:blip r:embed="rId84"/>
                    <a:stretch>
                      <a:fillRect/>
                    </a:stretch>
                  </pic:blipFill>
                  <pic:spPr>
                    <a:xfrm>
                      <a:off x="0" y="0"/>
                      <a:ext cx="6188710" cy="837565"/>
                    </a:xfrm>
                    <a:prstGeom prst="rect">
                      <a:avLst/>
                    </a:prstGeom>
                  </pic:spPr>
                </pic:pic>
              </a:graphicData>
            </a:graphic>
          </wp:anchor>
        </w:drawing>
      </w:r>
      <w:r>
        <w:rPr>
          <w:rFonts w:hint="eastAsia"/>
        </w:rPr>
        <w:t>第４章　施策・事業の展開</w:t>
      </w:r>
      <w:bookmarkEnd w:id="67"/>
    </w:p>
    <w:p>
      <w:pPr>
        <w:pStyle w:val="3"/>
        <w:ind w:left="0" w:leftChars="0"/>
        <w:rPr>
          <w:rFonts w:hint="default" w:ascii="メイリオ" w:hAnsi="メイリオ" w:eastAsia="メイリオ"/>
          <w:b w:val="1"/>
          <w:sz w:val="28"/>
          <w:u w:val="single" w:color="auto"/>
        </w:rPr>
      </w:pPr>
      <w:bookmarkStart w:id="68" w:name="_Toc59007792"/>
      <w:r>
        <w:rPr>
          <w:rFonts w:hint="eastAsia" w:ascii="メイリオ" w:hAnsi="メイリオ" w:eastAsia="メイリオ"/>
          <w:b w:val="1"/>
          <w:sz w:val="32"/>
          <w:u w:val="single" w:color="auto"/>
        </w:rPr>
        <w:t>１．健康で生きがいのある暮らしの推進</w:t>
      </w:r>
      <w:bookmarkEnd w:id="68"/>
      <w:r>
        <w:rPr>
          <w:rFonts w:hint="eastAsia" w:ascii="メイリオ" w:hAnsi="メイリオ" w:eastAsia="メイリオ"/>
          <w:b w:val="1"/>
          <w:sz w:val="32"/>
          <w:u w:val="single" w:color="auto"/>
        </w:rPr>
        <w:t>　　　　　　　　　　　　　　　　　　　　　</w:t>
      </w:r>
    </w:p>
    <w:p>
      <w:pPr>
        <w:pStyle w:val="4"/>
        <w:ind w:left="0" w:leftChars="0"/>
        <w:rPr>
          <w:rFonts w:hint="default" w:ascii="ＭＳ ゴシック" w:hAnsi="ＭＳ ゴシック" w:eastAsia="ＭＳ ゴシック"/>
          <w:b w:val="0"/>
          <w:sz w:val="28"/>
        </w:rPr>
      </w:pPr>
      <w:bookmarkStart w:id="69" w:name="_Toc59007793"/>
      <w:r>
        <w:rPr>
          <w:rFonts w:hint="eastAsia" w:ascii="ＭＳ ゴシック" w:hAnsi="ＭＳ ゴシック" w:eastAsia="ＭＳ ゴシック"/>
          <w:b w:val="0"/>
          <w:sz w:val="28"/>
        </w:rPr>
        <w:t>（１）健康づくりと生活習慣病予防の推進</w:t>
      </w:r>
      <w:bookmarkEnd w:id="69"/>
    </w:p>
    <w:p>
      <w:pPr>
        <w:pStyle w:val="0"/>
        <w:ind w:left="480" w:leftChars="100" w:hanging="240" w:hangingChars="100"/>
        <w:jc w:val="both"/>
        <w:rPr>
          <w:rFonts w:hint="default"/>
          <w:color w:val="000000" w:themeColor="text1"/>
        </w:rPr>
      </w:pPr>
      <w:r>
        <w:rPr>
          <w:rFonts w:hint="eastAsia"/>
          <w:color w:val="000000" w:themeColor="text1"/>
        </w:rPr>
        <w:t>○　国が進める「高齢者の保健事業と介護予防の一体的な実施」をふまえ、効果的な健康づくりと介護予防の取組を進めます。</w:t>
      </w:r>
    </w:p>
    <w:p>
      <w:pPr>
        <w:pStyle w:val="0"/>
        <w:ind w:left="480" w:leftChars="200" w:firstLine="240" w:firstLineChars="100"/>
        <w:jc w:val="both"/>
        <w:rPr>
          <w:rFonts w:hint="default"/>
          <w:color w:val="000000" w:themeColor="text1"/>
        </w:rPr>
      </w:pPr>
      <w:r>
        <w:rPr>
          <w:rFonts w:hint="eastAsia"/>
          <w:color w:val="000000" w:themeColor="text1"/>
        </w:rPr>
        <w:t>高齢者の健康状況を把握し、適切な医療受診による疾病予防・重症化予防を進めるとともに、運動・口腔・栄養・社会参加などを切り口とした介護予防サービスの実施により、一体的な取組を進めます。</w:t>
      </w:r>
    </w:p>
    <w:p>
      <w:pPr>
        <w:pStyle w:val="0"/>
        <w:ind w:left="480" w:leftChars="100" w:hanging="240" w:hangingChars="100"/>
        <w:jc w:val="both"/>
        <w:rPr>
          <w:rFonts w:hint="default"/>
          <w:color w:val="000000" w:themeColor="text1"/>
        </w:rPr>
      </w:pPr>
      <w:r>
        <w:rPr>
          <w:rFonts w:hint="eastAsia"/>
          <w:color w:val="000000" w:themeColor="text1"/>
        </w:rPr>
        <w:t>○　新規に要支援・要介護の認定を受けたかたの原因疾患は、筋骨格系の病気と悪性新生物を除くと、生活習慣病が多く占めていることから、引き続き健診受診率の向上や保健指導に努めるとともに、生活習慣病の予防・コントロールに向けたアンチエイジングセミナーの開催や運動しやすい環境づくりにより、生活習慣の改善を促進します。</w:t>
      </w:r>
    </w:p>
    <w:p>
      <w:pPr>
        <w:pStyle w:val="0"/>
        <w:ind w:left="480" w:leftChars="100" w:hanging="240" w:hangingChars="100"/>
        <w:jc w:val="both"/>
        <w:rPr>
          <w:rFonts w:hint="default"/>
          <w:color w:val="000000" w:themeColor="text1"/>
        </w:rPr>
      </w:pPr>
      <w:r>
        <w:rPr>
          <w:rFonts w:hint="eastAsia"/>
          <w:color w:val="000000" w:themeColor="text1"/>
        </w:rPr>
        <w:t>○　心身機能の維持・向上のため、運動しやすい環境づくりをはじめ、市のあらゆる資源を活用しながら、介護予防を意識した健康づくりを推進します。</w:t>
      </w:r>
    </w:p>
    <w:p>
      <w:pPr>
        <w:pStyle w:val="0"/>
        <w:rPr>
          <w:rFonts w:hint="default"/>
        </w:rPr>
      </w:pPr>
    </w:p>
    <w:p>
      <w:pPr>
        <w:pStyle w:val="4"/>
        <w:ind w:left="0" w:leftChars="0"/>
        <w:rPr>
          <w:rFonts w:hint="default" w:ascii="ＭＳ ゴシック" w:hAnsi="ＭＳ ゴシック" w:eastAsia="ＭＳ ゴシック"/>
          <w:b w:val="0"/>
          <w:sz w:val="28"/>
        </w:rPr>
      </w:pPr>
      <w:bookmarkStart w:id="70" w:name="_Toc59007794"/>
      <w:r>
        <w:rPr>
          <w:rFonts w:hint="eastAsia" w:ascii="ＭＳ ゴシック" w:hAnsi="ＭＳ ゴシック" w:eastAsia="ＭＳ ゴシック"/>
          <w:b w:val="0"/>
          <w:sz w:val="28"/>
        </w:rPr>
        <w:t>（２）自立支援、介護予防・重度化防止の推進</w:t>
      </w:r>
      <w:bookmarkEnd w:id="70"/>
    </w:p>
    <w:p>
      <w:pPr>
        <w:pStyle w:val="5"/>
        <w:ind w:left="0" w:leftChars="0" w:firstLine="240" w:firstLineChars="100"/>
        <w:rPr>
          <w:rFonts w:hint="default" w:ascii="ＭＳ ゴシック" w:hAnsi="ＭＳ ゴシック" w:eastAsia="ＭＳ ゴシック"/>
        </w:rPr>
      </w:pPr>
      <w:bookmarkStart w:id="71" w:name="_Toc59007795"/>
      <w:r>
        <w:rPr>
          <w:rFonts w:hint="eastAsia" w:ascii="ＭＳ ゴシック" w:hAnsi="ＭＳ ゴシック" w:eastAsia="ＭＳ ゴシック"/>
        </w:rPr>
        <w:t>ア）全体へのアプローチ</w:t>
      </w:r>
      <w:bookmarkEnd w:id="71"/>
    </w:p>
    <w:p>
      <w:pPr>
        <w:pStyle w:val="0"/>
        <w:ind w:left="480" w:leftChars="100" w:hanging="240" w:hangingChars="100"/>
        <w:jc w:val="both"/>
        <w:rPr>
          <w:rFonts w:hint="default"/>
          <w:color w:val="000000" w:themeColor="text1"/>
        </w:rPr>
      </w:pPr>
      <w:r>
        <w:rPr>
          <w:rFonts w:hint="eastAsia"/>
          <w:color w:val="000000" w:themeColor="text1"/>
        </w:rPr>
        <w:t>○　介護保険制度の基本理念は「自立支援」、すなわち、自らの有する能力を最大限生かして、自立した日常生活を居宅において送ることをめざしています。</w:t>
      </w:r>
    </w:p>
    <w:p>
      <w:pPr>
        <w:pStyle w:val="0"/>
        <w:ind w:left="480" w:leftChars="100" w:hanging="240" w:hangingChars="100"/>
        <w:jc w:val="both"/>
        <w:rPr>
          <w:rFonts w:hint="default"/>
          <w:color w:val="000000" w:themeColor="text1"/>
        </w:rPr>
      </w:pPr>
      <w:r>
        <w:rPr>
          <w:rFonts w:hint="eastAsia"/>
          <w:color w:val="000000" w:themeColor="text1"/>
        </w:rPr>
        <w:t>○　介護予防は、高齢者が要介護状態等となることの予防、要介護状態等の軽減、悪化の防止を目的として行うものです。</w:t>
      </w:r>
      <w:r>
        <w:rPr>
          <w:rFonts w:hint="eastAsia"/>
        </w:rPr>
        <w:t>心身状態の変化（自立・フレイル・要支援・要介護）を連続的にとらえながら、「</w:t>
      </w:r>
      <w:r>
        <w:rPr>
          <w:rFonts w:hint="eastAsia"/>
          <w:color w:val="000000" w:themeColor="text1"/>
        </w:rPr>
        <w:t>生活機能」、「心身機能」、「活動」、「参加」の各要素にバランス良く働きかけ、介護予防や重度化防止をめざします。</w:t>
      </w:r>
    </w:p>
    <w:p>
      <w:pPr>
        <w:pStyle w:val="0"/>
        <w:ind w:left="480" w:leftChars="100" w:hanging="240" w:hangingChars="100"/>
        <w:jc w:val="both"/>
        <w:rPr>
          <w:rFonts w:hint="default"/>
          <w:color w:val="000000" w:themeColor="text1"/>
        </w:rPr>
      </w:pPr>
      <w:r>
        <w:rPr>
          <w:rFonts w:hint="eastAsia"/>
          <w:color w:val="000000" w:themeColor="text1"/>
        </w:rPr>
        <w:t>○　保健事業と介護予防事業の一体的実施により、元気なときから介護予防を意識し、一貫して健康づくりや介護予防に取り組める環境づくりを推進します。</w:t>
      </w:r>
    </w:p>
    <w:p>
      <w:pPr>
        <w:pStyle w:val="0"/>
        <w:ind w:left="480" w:leftChars="100" w:hanging="240" w:hangingChars="100"/>
        <w:jc w:val="both"/>
        <w:rPr>
          <w:rFonts w:hint="default"/>
          <w:color w:val="000000" w:themeColor="text1"/>
        </w:rPr>
      </w:pPr>
      <w:r>
        <w:rPr>
          <w:rFonts w:hint="eastAsia"/>
          <w:color w:val="000000" w:themeColor="text1"/>
        </w:rPr>
        <w:t>○　本市では、国に先駆けて高齢者支援を行う医療職を配置し、リハビリテーション専門職の訪問による生活動作指導・運動指導、福祉用具や住宅改修の助言指導、保健師による健康指導など、専門的助言を行っています。また、オーラルフレイル</w:t>
      </w:r>
      <w:r>
        <w:rPr>
          <w:rFonts w:hint="eastAsia"/>
          <w:color w:val="000000" w:themeColor="text1"/>
          <w:vertAlign w:val="superscript"/>
        </w:rPr>
        <w:t>※</w:t>
      </w:r>
      <w:r>
        <w:rPr>
          <w:rStyle w:val="42"/>
          <w:rFonts w:hint="eastAsia"/>
          <w:color w:val="000000" w:themeColor="text1"/>
        </w:rPr>
        <w:footnoteReference w:id="11"/>
      </w:r>
      <w:r>
        <w:rPr>
          <w:rFonts w:hint="eastAsia"/>
          <w:color w:val="000000" w:themeColor="text1"/>
        </w:rPr>
        <w:t>予防のための口腔機能維持・向上についても、歯科衛生士による個別指導や啓発の取組を行っています。引き続き、医療職の積極的な関与と取組を推進します。</w:t>
      </w:r>
    </w:p>
    <w:p>
      <w:pPr>
        <w:pStyle w:val="0"/>
        <w:ind w:left="480" w:leftChars="100" w:hanging="240" w:hangingChars="100"/>
        <w:jc w:val="both"/>
        <w:rPr>
          <w:rFonts w:hint="default"/>
          <w:color w:val="000000" w:themeColor="text1"/>
        </w:rPr>
      </w:pPr>
      <w:r>
        <w:rPr>
          <w:rFonts w:hint="eastAsia"/>
          <w:color w:val="000000" w:themeColor="text1"/>
        </w:rPr>
        <w:t>○　また、地域ケア会議等を通じ、「自立支援」を主眼に置いた総合事業（短期集中型サービスなど）の活用や、生活支援体制整備事業等との連携による多様な生活支援の充実、高齢者の社会参加と地域における支え合いの体制づくりにより、効果的・効率的な取組を進めます。</w:t>
      </w:r>
    </w:p>
    <w:p>
      <w:pPr>
        <w:rPr>
          <w:rFonts w:hint="default"/>
        </w:rPr>
        <w:sectPr>
          <w:headerReference r:id="rId83" w:type="default"/>
          <w:pgSz w:w="11906" w:h="16838"/>
          <w:pgMar w:top="1440" w:right="1077" w:bottom="1021" w:left="1077" w:header="851" w:footer="454" w:gutter="0"/>
          <w:cols w:space="720"/>
          <w:textDirection w:val="lrTb"/>
          <w:docGrid w:type="lines" w:linePitch="360"/>
        </w:sectPr>
      </w:pPr>
    </w:p>
    <w:p>
      <w:pPr>
        <w:pStyle w:val="0"/>
        <w:ind w:left="480" w:leftChars="100" w:hanging="240" w:hangingChars="100"/>
        <w:jc w:val="both"/>
        <w:rPr>
          <w:rFonts w:hint="default"/>
          <w:color w:val="000000" w:themeColor="text1"/>
        </w:rPr>
      </w:pPr>
      <w:r>
        <w:rPr>
          <w:rFonts w:hint="eastAsia"/>
          <w:color w:val="000000" w:themeColor="text1"/>
        </w:rPr>
        <w:t>○　介護予防事業参加後も活動的な状態を維持するためには、多様な通いの場や活動の創出が重要であるため、ボランティア活動や就労的活動などの社会参加も含め、高齢者が生きがいややりがいを持って活躍できる地域づくりに努めます。</w:t>
      </w:r>
    </w:p>
    <w:p>
      <w:pPr>
        <w:pStyle w:val="0"/>
        <w:ind w:left="480" w:leftChars="100" w:hanging="240" w:hangingChars="100"/>
        <w:jc w:val="both"/>
        <w:rPr>
          <w:rFonts w:hint="default"/>
          <w:color w:val="000000" w:themeColor="text1"/>
        </w:rPr>
      </w:pPr>
      <w:r>
        <w:rPr>
          <w:rFonts w:hint="eastAsia"/>
          <w:color w:val="000000" w:themeColor="text1"/>
        </w:rPr>
        <w:t>○　データを活用しながら、ＰＤＣＡサイクルに沿って介護予防事業の評価・見直し等を行い、保険者機能強化推進交付金等の活用も含めて、施策を充実・推進します。</w:t>
      </w:r>
    </w:p>
    <w:p>
      <w:pPr>
        <w:pStyle w:val="0"/>
        <w:ind w:left="480" w:leftChars="100" w:hanging="240" w:hangingChars="100"/>
        <w:jc w:val="both"/>
        <w:rPr>
          <w:rFonts w:hint="default"/>
          <w:color w:val="000000" w:themeColor="text1"/>
        </w:rPr>
      </w:pPr>
      <w:r>
        <w:rPr>
          <w:rFonts w:hint="eastAsia"/>
          <w:color w:val="000000" w:themeColor="text1"/>
        </w:rPr>
        <w:t>○　このような取組を通じて介護予防を推進し、元気な高齢者が増えることにより、健康寿命の延伸と、結果として介護保険料の上昇の抑制をめざします。</w:t>
      </w:r>
    </w:p>
    <w:p>
      <w:pPr>
        <w:pStyle w:val="0"/>
        <w:ind w:left="480" w:leftChars="100" w:hanging="240" w:hangingChars="100"/>
        <w:jc w:val="both"/>
        <w:rPr>
          <w:rFonts w:hint="default"/>
          <w:color w:val="000000" w:themeColor="text1"/>
        </w:rPr>
      </w:pPr>
    </w:p>
    <w:p>
      <w:pPr>
        <w:pStyle w:val="0"/>
        <w:ind w:firstLine="3570" w:firstLineChars="1700"/>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79</w:t>
      </w:r>
      <w:r>
        <w:rPr>
          <w:rFonts w:hint="eastAsia" w:ascii="ＭＳ ゴシック" w:hAnsi="ＭＳ ゴシック" w:eastAsia="ＭＳ ゴシック"/>
          <w:sz w:val="21"/>
        </w:rPr>
        <w:t>：介護予防強化の必要性</w:t>
      </w:r>
    </w:p>
    <w:p>
      <w:pPr>
        <w:pStyle w:val="0"/>
        <w:spacing w:line="240" w:lineRule="exact"/>
        <w:ind w:right="360"/>
        <w:jc w:val="right"/>
        <w:rPr>
          <w:rFonts w:hint="default" w:ascii="ＭＳ ゴシック" w:hAnsi="ＭＳ ゴシック" w:eastAsia="ＭＳ ゴシック"/>
          <w:sz w:val="18"/>
        </w:rPr>
      </w:pPr>
      <w:r>
        <w:rPr>
          <w:rFonts w:hint="default"/>
        </w:rPr>
        <mc:AlternateContent>
          <mc:Choice Requires="wps">
            <w:drawing>
              <wp:anchor distT="0" distB="0" distL="114300" distR="114300" simplePos="0" relativeHeight="93" behindDoc="0" locked="0" layoutInCell="1" hidden="0" allowOverlap="1">
                <wp:simplePos x="0" y="0"/>
                <wp:positionH relativeFrom="column">
                  <wp:posOffset>-558800</wp:posOffset>
                </wp:positionH>
                <wp:positionV relativeFrom="paragraph">
                  <wp:posOffset>163195</wp:posOffset>
                </wp:positionV>
                <wp:extent cx="1315720" cy="3075305"/>
                <wp:effectExtent l="0" t="0" r="635" b="635"/>
                <wp:wrapNone/>
                <wp:docPr id="1128" name="上下矢印 19"/>
                <a:graphic xmlns:a="http://schemas.openxmlformats.org/drawingml/2006/main">
                  <a:graphicData uri="http://schemas.microsoft.com/office/word/2010/wordprocessingShape">
                    <wps:wsp>
                      <wps:cNvPr id="1128" name="上下矢印 19"/>
                      <wps:cNvSpPr/>
                      <wps:spPr>
                        <a:xfrm>
                          <a:off x="0" y="0"/>
                          <a:ext cx="1315720" cy="3075305"/>
                        </a:xfrm>
                        <a:prstGeom prst="upDownArrow">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ゴシック" w:hAnsi="ＭＳ ゴシック" w:eastAsia="ＭＳ ゴシック"/>
                                <w:kern w:val="0"/>
                                <w:sz w:val="14"/>
                              </w:rPr>
                            </w:pPr>
                            <w:r>
                              <w:rPr>
                                <w:rFonts w:hint="eastAsia" w:ascii="ＭＳ ゴシック" w:hAnsi="ＭＳ ゴシック" w:eastAsia="ＭＳ ゴシック"/>
                                <w:b w:val="1"/>
                                <w:color w:val="0F0F0F" w:themeColor="text1" w:themeTint="F2"/>
                                <w:sz w:val="16"/>
                              </w:rPr>
                              <w:t>高</w:t>
                            </w:r>
                          </w:p>
                          <w:p>
                            <w:pPr>
                              <w:pStyle w:val="0"/>
                              <w:spacing w:line="240" w:lineRule="exact"/>
                              <w:jc w:val="center"/>
                              <w:rPr>
                                <w:rFonts w:hint="default" w:ascii="ＭＳ ゴシック" w:hAnsi="ＭＳ ゴシック" w:eastAsia="ＭＳ ゴシック"/>
                                <w:b w:val="1"/>
                                <w:color w:val="0F0F0F" w:themeColor="text1" w:themeTint="F2"/>
                                <w:sz w:val="16"/>
                              </w:rPr>
                            </w:pPr>
                          </w:p>
                          <w:p>
                            <w:pPr>
                              <w:pStyle w:val="0"/>
                              <w:spacing w:line="240" w:lineRule="exact"/>
                              <w:jc w:val="center"/>
                              <w:rPr>
                                <w:rFonts w:hint="default" w:ascii="ＭＳ ゴシック" w:hAnsi="ＭＳ ゴシック" w:eastAsia="ＭＳ ゴシック"/>
                                <w:b w:val="1"/>
                                <w:color w:val="0F0F0F" w:themeColor="text1" w:themeTint="F2"/>
                                <w:sz w:val="16"/>
                              </w:rPr>
                            </w:pPr>
                          </w:p>
                          <w:p>
                            <w:pPr>
                              <w:pStyle w:val="0"/>
                              <w:spacing w:line="240" w:lineRule="exact"/>
                              <w:jc w:val="center"/>
                              <w:rPr>
                                <w:rFonts w:hint="default" w:ascii="ＭＳ ゴシック" w:hAnsi="ＭＳ ゴシック" w:eastAsia="ＭＳ ゴシック"/>
                                <w:sz w:val="14"/>
                              </w:rPr>
                            </w:pPr>
                            <w:r>
                              <w:rPr>
                                <w:rFonts w:hint="eastAsia" w:ascii="ＭＳ ゴシック" w:hAnsi="ＭＳ ゴシック" w:eastAsia="ＭＳ ゴシック"/>
                                <w:b w:val="1"/>
                                <w:color w:val="0F0F0F" w:themeColor="text1" w:themeTint="F2"/>
                                <w:sz w:val="16"/>
                              </w:rPr>
                              <w:t>　</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生</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活</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機</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能</w:t>
                            </w: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r>
                              <w:rPr>
                                <w:rFonts w:hint="eastAsia" w:ascii="ＭＳ ゴシック" w:hAnsi="ＭＳ ゴシック" w:eastAsia="ＭＳ ゴシック"/>
                                <w:b w:val="1"/>
                                <w:color w:val="0F0F0F" w:themeColor="text1" w:themeTint="F2"/>
                                <w:sz w:val="16"/>
                              </w:rPr>
                              <w:t>低</w:t>
                            </w:r>
                          </w:p>
                        </w:txbxContent>
                      </wps:txbx>
                      <wps:bodyPr vertOverflow="clip" horzOverflow="clip" wrap="square" rtlCol="0" anchor="t"/>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style="mso-wrap-distance-right:9pt;mso-wrap-distance-bottom:0pt;margin-top:12.85pt;mso-position-vertical-relative:text;mso-position-horizontal-relative:text;v-text-anchor:top;position:absolute;height:242.15pt;mso-wrap-distance-top:0pt;width:103.6pt;mso-wrap-distance-left:9pt;margin-left:-44pt;z-index:93;" o:spid="_x0000_s1128" o:allowincell="t" o:allowoverlap="t" filled="f" stroked="f" strokecolor="#32528f" strokeweight="1.5pt" o:spt="70" type="#_x0000_t70" adj="5400,10800">
                <v:fill/>
                <v:stroke linestyle="single" miterlimit="8" endcap="flat" dashstyle="solid"/>
                <v:textbox style="layout-flow:horizontal;">
                  <w:txbxContent>
                    <w:p>
                      <w:pPr>
                        <w:pStyle w:val="0"/>
                        <w:spacing w:line="240" w:lineRule="exact"/>
                        <w:jc w:val="center"/>
                        <w:rPr>
                          <w:rFonts w:hint="default" w:ascii="ＭＳ ゴシック" w:hAnsi="ＭＳ ゴシック" w:eastAsia="ＭＳ ゴシック"/>
                          <w:kern w:val="0"/>
                          <w:sz w:val="14"/>
                        </w:rPr>
                      </w:pPr>
                      <w:r>
                        <w:rPr>
                          <w:rFonts w:hint="eastAsia" w:ascii="ＭＳ ゴシック" w:hAnsi="ＭＳ ゴシック" w:eastAsia="ＭＳ ゴシック"/>
                          <w:b w:val="1"/>
                          <w:color w:val="0F0F0F" w:themeColor="text1" w:themeTint="F2"/>
                          <w:sz w:val="16"/>
                        </w:rPr>
                        <w:t>高</w:t>
                      </w:r>
                    </w:p>
                    <w:p>
                      <w:pPr>
                        <w:pStyle w:val="0"/>
                        <w:spacing w:line="240" w:lineRule="exact"/>
                        <w:jc w:val="center"/>
                        <w:rPr>
                          <w:rFonts w:hint="default" w:ascii="ＭＳ ゴシック" w:hAnsi="ＭＳ ゴシック" w:eastAsia="ＭＳ ゴシック"/>
                          <w:b w:val="1"/>
                          <w:color w:val="0F0F0F" w:themeColor="text1" w:themeTint="F2"/>
                          <w:sz w:val="16"/>
                        </w:rPr>
                      </w:pPr>
                    </w:p>
                    <w:p>
                      <w:pPr>
                        <w:pStyle w:val="0"/>
                        <w:spacing w:line="240" w:lineRule="exact"/>
                        <w:jc w:val="center"/>
                        <w:rPr>
                          <w:rFonts w:hint="default" w:ascii="ＭＳ ゴシック" w:hAnsi="ＭＳ ゴシック" w:eastAsia="ＭＳ ゴシック"/>
                          <w:b w:val="1"/>
                          <w:color w:val="0F0F0F" w:themeColor="text1" w:themeTint="F2"/>
                          <w:sz w:val="16"/>
                        </w:rPr>
                      </w:pPr>
                    </w:p>
                    <w:p>
                      <w:pPr>
                        <w:pStyle w:val="0"/>
                        <w:spacing w:line="240" w:lineRule="exact"/>
                        <w:jc w:val="center"/>
                        <w:rPr>
                          <w:rFonts w:hint="default" w:ascii="ＭＳ ゴシック" w:hAnsi="ＭＳ ゴシック" w:eastAsia="ＭＳ ゴシック"/>
                          <w:sz w:val="14"/>
                        </w:rPr>
                      </w:pPr>
                      <w:r>
                        <w:rPr>
                          <w:rFonts w:hint="eastAsia" w:ascii="ＭＳ ゴシック" w:hAnsi="ＭＳ ゴシック" w:eastAsia="ＭＳ ゴシック"/>
                          <w:b w:val="1"/>
                          <w:color w:val="0F0F0F" w:themeColor="text1" w:themeTint="F2"/>
                          <w:sz w:val="16"/>
                        </w:rPr>
                        <w:t>　</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生</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活</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機</w:t>
                      </w:r>
                    </w:p>
                    <w:p>
                      <w:pPr>
                        <w:pStyle w:val="0"/>
                        <w:spacing w:line="240" w:lineRule="exact"/>
                        <w:jc w:val="center"/>
                        <w:rPr>
                          <w:rFonts w:hint="default" w:ascii="ＭＳ ゴシック" w:hAnsi="ＭＳ ゴシック" w:eastAsia="ＭＳ ゴシック"/>
                          <w:b w:val="1"/>
                          <w:color w:val="0F0F0F" w:themeColor="text1" w:themeTint="F2"/>
                          <w:sz w:val="16"/>
                        </w:rPr>
                      </w:pPr>
                      <w:r>
                        <w:rPr>
                          <w:rFonts w:hint="eastAsia" w:ascii="ＭＳ ゴシック" w:hAnsi="ＭＳ ゴシック" w:eastAsia="ＭＳ ゴシック"/>
                          <w:b w:val="1"/>
                          <w:color w:val="0F0F0F" w:themeColor="text1" w:themeTint="F2"/>
                          <w:sz w:val="16"/>
                        </w:rPr>
                        <w:t>能</w:t>
                      </w: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p>
                    <w:p>
                      <w:pPr>
                        <w:pStyle w:val="0"/>
                        <w:spacing w:line="240" w:lineRule="exact"/>
                        <w:jc w:val="center"/>
                        <w:rPr>
                          <w:rFonts w:hint="default" w:ascii="ＭＳ ゴシック" w:hAnsi="ＭＳ ゴシック" w:eastAsia="ＭＳ ゴシック"/>
                          <w:sz w:val="14"/>
                        </w:rPr>
                      </w:pPr>
                      <w:r>
                        <w:rPr>
                          <w:rFonts w:hint="eastAsia" w:ascii="ＭＳ ゴシック" w:hAnsi="ＭＳ ゴシック" w:eastAsia="ＭＳ ゴシック"/>
                          <w:b w:val="1"/>
                          <w:color w:val="0F0F0F" w:themeColor="text1" w:themeTint="F2"/>
                          <w:sz w:val="16"/>
                        </w:rPr>
                        <w:t>低</w:t>
                      </w:r>
                    </w:p>
                  </w:txbxContent>
                </v:textbox>
                <v:imagedata o:title=""/>
                <w10:wrap type="none" anchorx="text" anchory="text"/>
              </v:shape>
            </w:pict>
          </mc:Fallback>
        </mc:AlternateContent>
      </w:r>
      <w:r>
        <w:rPr>
          <w:rFonts w:hint="eastAsia" w:ascii="ＭＳ ゴシック" w:hAnsi="ＭＳ ゴシック" w:eastAsia="ＭＳ ゴシック"/>
          <w:sz w:val="18"/>
        </w:rPr>
        <w:t>箕面市における介護（予防）施策対象者数</w:t>
      </w:r>
    </w:p>
    <w:p>
      <w:pPr>
        <w:pStyle w:val="0"/>
        <w:spacing w:line="240" w:lineRule="exact"/>
        <w:ind w:right="-175" w:rightChars="-73"/>
        <w:jc w:val="right"/>
        <w:rPr>
          <w:rFonts w:hint="default" w:ascii="ＭＳ ゴシック" w:hAnsi="ＭＳ ゴシック" w:eastAsia="ＭＳ ゴシック"/>
          <w:sz w:val="18"/>
        </w:rPr>
      </w:pPr>
      <w:r>
        <w:rPr>
          <w:rFonts w:hint="default"/>
        </w:rPr>
        <mc:AlternateContent>
          <mc:Choice Requires="wps">
            <w:drawing>
              <wp:anchor distT="0" distB="0" distL="114300" distR="114300" simplePos="0" relativeHeight="72" behindDoc="1" locked="0" layoutInCell="1" hidden="0" allowOverlap="1">
                <wp:simplePos x="0" y="0"/>
                <wp:positionH relativeFrom="column">
                  <wp:posOffset>335280</wp:posOffset>
                </wp:positionH>
                <wp:positionV relativeFrom="paragraph">
                  <wp:posOffset>111125</wp:posOffset>
                </wp:positionV>
                <wp:extent cx="2002790" cy="1214120"/>
                <wp:effectExtent l="635" t="635" r="29845" b="10795"/>
                <wp:wrapNone/>
                <wp:docPr id="1129" name="角丸四角形 1"/>
                <a:graphic xmlns:a="http://schemas.openxmlformats.org/drawingml/2006/main">
                  <a:graphicData uri="http://schemas.microsoft.com/office/word/2010/wordprocessingShape">
                    <wps:wsp>
                      <wps:cNvPr id="1129" name="角丸四角形 1"/>
                      <wps:cNvSpPr/>
                      <wps:spPr>
                        <a:xfrm>
                          <a:off x="0" y="0"/>
                          <a:ext cx="2002790" cy="1214120"/>
                        </a:xfrm>
                        <a:prstGeom prst="roundRect">
                          <a:avLst>
                            <a:gd name="adj" fmla="val 6711"/>
                          </a:avLst>
                        </a:prstGeom>
                        <a:solidFill>
                          <a:schemeClr val="bg1">
                            <a:lumMod val="95000"/>
                          </a:schemeClr>
                        </a:solid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jc w:val="right"/>
                              <w:rPr>
                                <w:rFonts w:hint="default" w:ascii="ＭＳ ゴシック" w:hAnsi="ＭＳ ゴシック" w:eastAsia="ＭＳ ゴシック"/>
                                <w:kern w:val="0"/>
                                <w:sz w:val="8"/>
                              </w:rPr>
                            </w:pPr>
                            <w:r>
                              <w:rPr>
                                <w:rFonts w:hint="eastAsia" w:ascii="ＭＳ ゴシック" w:hAnsi="ＭＳ ゴシック" w:eastAsia="ＭＳ ゴシック"/>
                                <w:color w:val="0F0F0F" w:themeColor="text1" w:themeTint="F2"/>
                                <w:sz w:val="12"/>
                              </w:rPr>
                              <w:t>介護予防・日常生活支援総合事業</w:t>
                            </w:r>
                          </w:p>
                          <w:p>
                            <w:pPr>
                              <w:pStyle w:val="0"/>
                              <w:spacing w:line="160" w:lineRule="exact"/>
                              <w:jc w:val="right"/>
                              <w:rPr>
                                <w:rFonts w:hint="default" w:ascii="ＭＳ ゴシック" w:hAnsi="ＭＳ ゴシック" w:eastAsia="ＭＳ ゴシック"/>
                                <w:sz w:val="8"/>
                              </w:rPr>
                            </w:pPr>
                            <w:r>
                              <w:rPr>
                                <w:rFonts w:hint="eastAsia" w:ascii="ＭＳ ゴシック" w:hAnsi="ＭＳ ゴシック" w:eastAsia="ＭＳ ゴシック"/>
                                <w:color w:val="0F0F0F" w:themeColor="text1" w:themeTint="F2"/>
                                <w:sz w:val="12"/>
                              </w:rPr>
                              <w:t>の対象範囲</w:t>
                            </w:r>
                          </w:p>
                        </w:txbxContent>
                      </wps:txbx>
                      <wps:bodyPr vertOverflow="clip" horzOverflow="clip" wrap="square" rtlCol="0" anchor="t"/>
                    </wps:wsp>
                  </a:graphicData>
                </a:graphic>
              </wp:anchor>
            </w:drawing>
          </mc:Choice>
          <mc:Fallback>
            <w:pict>
              <v:roundrect id="角丸四角形 1" style="mso-wrap-distance-right:9pt;mso-wrap-distance-bottom:0pt;margin-top:8.75pt;mso-position-vertical-relative:text;mso-position-horizontal-relative:text;v-text-anchor:top;position:absolute;height:95.6pt;mso-wrap-distance-top:0pt;width:157.69pt;mso-wrap-distance-left:9pt;margin-left:26.4pt;z-index:-503316408;" o:spid="_x0000_s1129" o:allowincell="t" o:allowoverlap="t" filled="t" fillcolor="#f2f2f2 [3052]" stroked="t" strokecolor="#000000 [3213]" strokeweight="0.75pt" o:spt="2" arcsize="4399f">
                <v:fill/>
                <v:stroke linestyle="single" miterlimit="8" endcap="flat" dashstyle="shortdot" filltype="solid"/>
                <v:textbox style="layout-flow:horizontal;">
                  <w:txbxContent>
                    <w:p>
                      <w:pPr>
                        <w:pStyle w:val="0"/>
                        <w:spacing w:line="160" w:lineRule="exact"/>
                        <w:jc w:val="right"/>
                        <w:rPr>
                          <w:rFonts w:hint="default" w:ascii="ＭＳ ゴシック" w:hAnsi="ＭＳ ゴシック" w:eastAsia="ＭＳ ゴシック"/>
                          <w:kern w:val="0"/>
                          <w:sz w:val="8"/>
                        </w:rPr>
                      </w:pPr>
                      <w:r>
                        <w:rPr>
                          <w:rFonts w:hint="eastAsia" w:ascii="ＭＳ ゴシック" w:hAnsi="ＭＳ ゴシック" w:eastAsia="ＭＳ ゴシック"/>
                          <w:color w:val="0F0F0F" w:themeColor="text1" w:themeTint="F2"/>
                          <w:sz w:val="12"/>
                        </w:rPr>
                        <w:t>介護予防・日常生活支援総合事業</w:t>
                      </w:r>
                    </w:p>
                    <w:p>
                      <w:pPr>
                        <w:pStyle w:val="0"/>
                        <w:spacing w:line="160" w:lineRule="exact"/>
                        <w:jc w:val="right"/>
                        <w:rPr>
                          <w:rFonts w:hint="default" w:ascii="ＭＳ ゴシック" w:hAnsi="ＭＳ ゴシック" w:eastAsia="ＭＳ ゴシック"/>
                          <w:sz w:val="8"/>
                        </w:rPr>
                      </w:pPr>
                      <w:r>
                        <w:rPr>
                          <w:rFonts w:hint="eastAsia" w:ascii="ＭＳ ゴシック" w:hAnsi="ＭＳ ゴシック" w:eastAsia="ＭＳ ゴシック"/>
                          <w:color w:val="0F0F0F" w:themeColor="text1" w:themeTint="F2"/>
                          <w:sz w:val="12"/>
                        </w:rPr>
                        <w:t>の対象範囲</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91" behindDoc="0" locked="0" layoutInCell="1" hidden="0" allowOverlap="1">
                <wp:simplePos x="0" y="0"/>
                <wp:positionH relativeFrom="column">
                  <wp:posOffset>-86995</wp:posOffset>
                </wp:positionH>
                <wp:positionV relativeFrom="paragraph">
                  <wp:posOffset>173990</wp:posOffset>
                </wp:positionV>
                <wp:extent cx="356235" cy="2329815"/>
                <wp:effectExtent l="1270" t="635" r="30480" b="10795"/>
                <wp:wrapNone/>
                <wp:docPr id="1130" name="上下矢印 19"/>
                <a:graphic xmlns:a="http://schemas.openxmlformats.org/drawingml/2006/main">
                  <a:graphicData uri="http://schemas.microsoft.com/office/word/2010/wordprocessingShape">
                    <wps:wsp>
                      <wps:cNvPr id="1130" name="上下矢印 19"/>
                      <wps:cNvSpPr/>
                      <wps:spPr>
                        <a:xfrm>
                          <a:off x="0" y="0"/>
                          <a:ext cx="356235" cy="2329815"/>
                        </a:xfrm>
                        <a:prstGeom prst="upDownArrow">
                          <a:avLst/>
                        </a:prstGeom>
                        <a:solidFill>
                          <a:schemeClr val="bg1">
                            <a:lumMod val="9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ゴシック" w:hAnsi="ＭＳ ゴシック" w:eastAsia="ＭＳ ゴシック"/>
                                <w:sz w:val="14"/>
                              </w:rPr>
                            </w:pPr>
                          </w:p>
                        </w:txbxContent>
                      </wps:txbx>
                      <wps:bodyPr vertOverflow="clip" horzOverflow="clip" wrap="square" rtlCol="0" anchor="ct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style="mso-wrap-distance-right:9pt;mso-wrap-distance-bottom:0pt;margin-top:13.7pt;mso-position-vertical-relative:text;mso-position-horizontal-relative:text;v-text-anchor:middle;position:absolute;height:183.45pt;mso-wrap-distance-top:0pt;width:28.05pt;mso-wrap-distance-left:9pt;margin-left:-6.85pt;z-index:91;" o:spid="_x0000_s1130" o:allowincell="t" o:allowoverlap="t" filled="t" fillcolor="#f2f2f2 [3052]" stroked="t" strokecolor="#0d0d0d [3069]" strokeweight="1.5pt" o:spt="70" type="#_x0000_t70" adj="5400,10800">
                <v:fill/>
                <v:stroke linestyle="single" miterlimit="8" endcap="flat" dashstyle="solid" filltype="solid"/>
                <v:textbox style="layout-flow:horizontal;">
                  <w:txbxContent>
                    <w:p>
                      <w:pPr>
                        <w:pStyle w:val="0"/>
                        <w:spacing w:line="240" w:lineRule="exact"/>
                        <w:jc w:val="center"/>
                        <w:rPr>
                          <w:rFonts w:hint="default" w:ascii="ＭＳ ゴシック" w:hAnsi="ＭＳ ゴシック" w:eastAsia="ＭＳ ゴシック"/>
                          <w:sz w:val="14"/>
                        </w:rPr>
                      </w:pPr>
                    </w:p>
                  </w:txbxContent>
                </v:textbox>
                <v:imagedata o:title=""/>
                <w10:wrap type="none" anchorx="text" anchory="text"/>
              </v:shape>
            </w:pict>
          </mc:Fallback>
        </mc:AlternateContent>
      </w:r>
      <w:r>
        <w:rPr>
          <w:rFonts w:hint="eastAsia" w:ascii="ＭＳ ゴシック" w:hAnsi="ＭＳ ゴシック" w:eastAsia="ＭＳ ゴシック"/>
          <w:sz w:val="18"/>
        </w:rPr>
        <w:t>（</w:t>
      </w:r>
      <w:r>
        <w:rPr>
          <w:rFonts w:hint="eastAsia" w:ascii="ＭＳ ゴシック" w:hAnsi="ＭＳ ゴシック" w:eastAsia="ＭＳ ゴシック"/>
          <w:sz w:val="18"/>
        </w:rPr>
        <w:t>65</w:t>
      </w:r>
      <w:r>
        <w:rPr>
          <w:rFonts w:hint="eastAsia" w:ascii="ＭＳ ゴシック" w:hAnsi="ＭＳ ゴシック" w:eastAsia="ＭＳ ゴシック"/>
          <w:sz w:val="18"/>
        </w:rPr>
        <w:t>歳以上）</w:t>
      </w:r>
      <w:r>
        <w:rPr>
          <w:rFonts w:hint="eastAsia" w:ascii="ＭＳ ゴシック" w:hAnsi="ＭＳ ゴシック" w:eastAsia="ＭＳ ゴシック"/>
          <w:kern w:val="0"/>
          <w:sz w:val="18"/>
        </w:rPr>
        <w:t>（</w:t>
      </w:r>
      <w:r>
        <w:rPr>
          <w:rFonts w:hint="eastAsia" w:ascii="ＭＳ ゴシック" w:hAnsi="ＭＳ ゴシック" w:eastAsia="ＭＳ ゴシック"/>
          <w:kern w:val="0"/>
          <w:sz w:val="18"/>
        </w:rPr>
        <w:t xml:space="preserve"> </w:t>
      </w:r>
      <w:r>
        <w:rPr>
          <w:rFonts w:hint="eastAsia" w:ascii="ＭＳ ゴシック" w:hAnsi="ＭＳ ゴシック" w:eastAsia="ＭＳ ゴシック"/>
          <w:kern w:val="0"/>
          <w:sz w:val="18"/>
        </w:rPr>
        <w:t>令和２年</w:t>
      </w:r>
      <w:r>
        <w:rPr>
          <w:rFonts w:hint="eastAsia" w:ascii="ＭＳ ゴシック" w:hAnsi="ＭＳ ゴシック" w:eastAsia="ＭＳ ゴシック"/>
          <w:kern w:val="0"/>
          <w:sz w:val="18"/>
        </w:rPr>
        <w:t>(2</w:t>
      </w:r>
      <w:r>
        <w:rPr>
          <w:rFonts w:hint="default" w:ascii="ＭＳ ゴシック" w:hAnsi="ＭＳ ゴシック" w:eastAsia="ＭＳ ゴシック"/>
          <w:kern w:val="0"/>
          <w:sz w:val="18"/>
        </w:rPr>
        <w:t>020</w:t>
      </w:r>
      <w:r>
        <w:rPr>
          <w:rFonts w:hint="eastAsia" w:ascii="ＭＳ ゴシック" w:hAnsi="ＭＳ ゴシック" w:eastAsia="ＭＳ ゴシック"/>
          <w:kern w:val="0"/>
          <w:sz w:val="18"/>
        </w:rPr>
        <w:t>年</w:t>
      </w:r>
      <w:r>
        <w:rPr>
          <w:rFonts w:hint="eastAsia" w:ascii="ＭＳ ゴシック" w:hAnsi="ＭＳ ゴシック" w:eastAsia="ＭＳ ゴシック"/>
          <w:kern w:val="0"/>
          <w:sz w:val="18"/>
        </w:rPr>
        <w:t>)</w:t>
      </w:r>
      <w:r>
        <w:rPr>
          <w:rFonts w:hint="eastAsia" w:ascii="ＭＳ ゴシック" w:hAnsi="ＭＳ ゴシック" w:eastAsia="ＭＳ ゴシック"/>
          <w:kern w:val="0"/>
          <w:sz w:val="18"/>
        </w:rPr>
        <w:t>３月末）</w:t>
      </w:r>
    </w:p>
    <w:tbl>
      <w:tblPr>
        <w:tblStyle w:val="59"/>
        <w:tblW w:w="9918" w:type="dxa"/>
        <w:tblInd w:w="0" w:type="dxa"/>
        <w:tblLayout w:type="fixed"/>
        <w:tblLook w:firstRow="1" w:lastRow="0" w:firstColumn="1" w:lastColumn="0" w:noHBand="0" w:noVBand="1" w:val="04A0"/>
      </w:tblPr>
      <w:tblGrid>
        <w:gridCol w:w="4536"/>
        <w:gridCol w:w="846"/>
        <w:gridCol w:w="848"/>
        <w:gridCol w:w="711"/>
        <w:gridCol w:w="844"/>
        <w:gridCol w:w="715"/>
        <w:gridCol w:w="782"/>
        <w:gridCol w:w="636"/>
      </w:tblGrid>
      <w:tr>
        <w:trPr>
          <w:trHeight w:val="283" w:hRule="atLeast"/>
        </w:trPr>
        <w:tc>
          <w:tcPr>
            <w:tcW w:w="4536" w:type="dxa"/>
            <w:tcBorders>
              <w:top w:val="dotted" w:color="auto" w:sz="4" w:space="0"/>
              <w:left w:val="nil"/>
              <w:bottom w:val="dotted" w:color="auto" w:sz="4" w:space="0"/>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73" behindDoc="0" locked="0" layoutInCell="1" hidden="0" allowOverlap="1">
                      <wp:simplePos x="0" y="0"/>
                      <wp:positionH relativeFrom="column">
                        <wp:posOffset>328295</wp:posOffset>
                      </wp:positionH>
                      <wp:positionV relativeFrom="paragraph">
                        <wp:posOffset>19685</wp:posOffset>
                      </wp:positionV>
                      <wp:extent cx="536575" cy="189865"/>
                      <wp:effectExtent l="635" t="635" r="29845" b="10795"/>
                      <wp:wrapNone/>
                      <wp:docPr id="1131" name="角丸四角形 3"/>
                      <a:graphic xmlns:a="http://schemas.openxmlformats.org/drawingml/2006/main">
                        <a:graphicData uri="http://schemas.microsoft.com/office/word/2010/wordprocessingShape">
                          <wps:wsp>
                            <wps:cNvPr id="1131" name="角丸四角形 3"/>
                            <wps:cNvSpPr/>
                            <wps:spPr>
                              <a:xfrm>
                                <a:off x="0" y="0"/>
                                <a:ext cx="536575" cy="189865"/>
                              </a:xfrm>
                              <a:prstGeom prst="roundRect">
                                <a:avLst/>
                              </a:prstGeom>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元気高齢者</w:t>
                                  </w:r>
                                </w:p>
                              </w:txbxContent>
                            </wps:txbx>
                            <wps:bodyPr vertOverflow="clip" horzOverflow="clip" wrap="square" rtlCol="0" anchor="t"/>
                          </wps:wsp>
                        </a:graphicData>
                      </a:graphic>
                    </wp:anchor>
                  </w:drawing>
                </mc:Choice>
                <mc:Fallback>
                  <w:pict>
                    <v:roundrect id="角丸四角形 3" style="mso-wrap-distance-right:9pt;mso-wrap-distance-bottom:0pt;margin-top:1.55pt;mso-position-vertical-relative:text;mso-position-horizontal-relative:text;v-text-anchor:top;position:absolute;height:14.95pt;mso-wrap-distance-top:0pt;width:42.25pt;mso-wrap-distance-left:9pt;margin-left:25.85pt;z-index:73;" o:spid="_x0000_s1131" o:allowincell="t" o:allowoverlap="t" filled="t" fillcolor="#ffffff [3201]"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元気高齢者</w:t>
                            </w:r>
                          </w:p>
                        </w:txbxContent>
                      </v:textbox>
                      <v:imagedata o:title=""/>
                      <w10:wrap type="none" anchorx="text" anchory="text"/>
                    </v:roundrect>
                  </w:pict>
                </mc:Fallback>
              </mc:AlternateContent>
            </w:r>
          </w:p>
        </w:tc>
        <w:tc>
          <w:tcPr>
            <w:tcW w:w="846"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0" w:leftChars="-41" w:right="-110" w:rightChars="-46" w:hanging="98" w:hangingChars="70"/>
              <w:jc w:val="center"/>
              <w:rPr>
                <w:rFonts w:hint="default" w:ascii="ＭＳ ゴシック" w:hAnsi="ＭＳ ゴシック" w:eastAsia="ＭＳ ゴシック"/>
                <w:sz w:val="14"/>
              </w:rPr>
            </w:pPr>
            <w:r>
              <w:rPr>
                <w:rFonts w:hint="eastAsia" w:ascii="ＭＳ ゴシック" w:hAnsi="ＭＳ ゴシック" w:eastAsia="ＭＳ ゴシック"/>
                <w:sz w:val="14"/>
              </w:rPr>
              <w:t>元気高齢者</w:t>
            </w:r>
          </w:p>
        </w:tc>
        <w:tc>
          <w:tcPr>
            <w:tcW w:w="848"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2,267</w:t>
            </w:r>
            <w:r>
              <w:rPr>
                <w:rFonts w:hint="eastAsia" w:ascii="ＭＳ ゴシック" w:hAnsi="ＭＳ ゴシック" w:eastAsia="ＭＳ ゴシック"/>
                <w:sz w:val="14"/>
              </w:rPr>
              <w:t>人</w:t>
            </w:r>
          </w:p>
        </w:tc>
        <w:tc>
          <w:tcPr>
            <w:tcW w:w="711"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6</w:t>
            </w:r>
            <w:r>
              <w:rPr>
                <w:rFonts w:hint="default" w:ascii="ＭＳ ゴシック" w:hAnsi="ＭＳ ゴシック" w:eastAsia="ＭＳ ゴシック"/>
                <w:sz w:val="14"/>
              </w:rPr>
              <w:t>3.9</w:t>
            </w:r>
            <w:r>
              <w:rPr>
                <w:rFonts w:hint="eastAsia" w:ascii="ＭＳ ゴシック" w:hAnsi="ＭＳ ゴシック" w:eastAsia="ＭＳ ゴシック"/>
                <w:sz w:val="14"/>
              </w:rPr>
              <w:t>％</w:t>
            </w:r>
          </w:p>
        </w:tc>
        <w:tc>
          <w:tcPr>
            <w:tcW w:w="844" w:type="dxa"/>
            <w:vMerge w:val="restart"/>
            <w:tcBorders>
              <w:top w:val="none" w:color="auto" w:sz="0" w:space="0"/>
              <w:left w:val="none" w:color="auto" w:sz="0" w:space="0"/>
              <w:bottom w:val="single" w:color="auto" w:sz="4" w:space="0"/>
              <w:right w:val="dotted" w:color="auto" w:sz="4" w:space="0"/>
              <w:tl2br w:val="none" w:color="auto" w:sz="0" w:space="0"/>
              <w:tr2bl w:val="none" w:color="auto" w:sz="0" w:space="0"/>
            </w:tcBorders>
            <w:vAlign w:val="center"/>
          </w:tcPr>
          <w:p>
            <w:pPr>
              <w:pStyle w:val="0"/>
              <w:ind w:left="-101" w:leftChars="-42"/>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9,</w:t>
            </w:r>
            <w:r>
              <w:rPr>
                <w:rFonts w:hint="eastAsia" w:ascii="ＭＳ ゴシック" w:hAnsi="ＭＳ ゴシック" w:eastAsia="ＭＳ ゴシック"/>
                <w:sz w:val="14"/>
              </w:rPr>
              <w:t>071</w:t>
            </w:r>
            <w:r>
              <w:rPr>
                <w:rFonts w:hint="eastAsia" w:ascii="ＭＳ ゴシック" w:hAnsi="ＭＳ ゴシック" w:eastAsia="ＭＳ ゴシック"/>
                <w:sz w:val="14"/>
              </w:rPr>
              <w:t>人</w:t>
            </w:r>
          </w:p>
        </w:tc>
        <w:tc>
          <w:tcPr>
            <w:tcW w:w="715" w:type="dxa"/>
            <w:vMerge w:val="restart"/>
            <w:tcBorders>
              <w:top w:val="none" w:color="auto" w:sz="0" w:space="0"/>
              <w:left w:val="dotted" w:color="auto" w:sz="4" w:space="0"/>
              <w:bottom w:val="single"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8</w:t>
            </w:r>
            <w:r>
              <w:rPr>
                <w:rFonts w:hint="default" w:ascii="ＭＳ ゴシック" w:hAnsi="ＭＳ ゴシック" w:eastAsia="ＭＳ ゴシック"/>
                <w:sz w:val="14"/>
              </w:rPr>
              <w:t>3.</w:t>
            </w:r>
            <w:r>
              <w:rPr>
                <w:rFonts w:hint="eastAsia" w:ascii="ＭＳ ゴシック" w:hAnsi="ＭＳ ゴシック" w:eastAsia="ＭＳ ゴシック"/>
                <w:sz w:val="14"/>
              </w:rPr>
              <w:t>4</w:t>
            </w:r>
            <w:r>
              <w:rPr>
                <w:rFonts w:hint="eastAsia" w:ascii="ＭＳ ゴシック" w:hAnsi="ＭＳ ゴシック" w:eastAsia="ＭＳ ゴシック"/>
                <w:sz w:val="14"/>
              </w:rPr>
              <w:t>％</w:t>
            </w:r>
          </w:p>
        </w:tc>
        <w:tc>
          <w:tcPr>
            <w:tcW w:w="782" w:type="dxa"/>
            <w:vMerge w:val="restart"/>
            <w:tcBorders>
              <w:top w:val="none" w:color="auto" w:sz="0" w:space="0"/>
              <w:left w:val="none" w:color="auto" w:sz="0" w:space="0"/>
              <w:bottom w:val="single" w:color="auto" w:sz="4" w:space="0"/>
              <w:right w:val="dotted" w:color="auto" w:sz="4" w:space="0"/>
              <w:tl2br w:val="none" w:color="auto" w:sz="0" w:space="0"/>
              <w:tr2bl w:val="none" w:color="auto" w:sz="0" w:space="0"/>
            </w:tcBorders>
            <w:vAlign w:val="center"/>
          </w:tcPr>
          <w:p>
            <w:pPr>
              <w:pStyle w:val="0"/>
              <w:ind w:left="0" w:leftChars="-42" w:hanging="101" w:hangingChars="72"/>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9,</w:t>
            </w:r>
            <w:r>
              <w:rPr>
                <w:rFonts w:hint="eastAsia" w:ascii="ＭＳ ゴシック" w:hAnsi="ＭＳ ゴシック" w:eastAsia="ＭＳ ゴシック"/>
                <w:sz w:val="14"/>
              </w:rPr>
              <w:t>071</w:t>
            </w:r>
            <w:r>
              <w:rPr>
                <w:rFonts w:hint="eastAsia" w:ascii="ＭＳ ゴシック" w:hAnsi="ＭＳ ゴシック" w:eastAsia="ＭＳ ゴシック"/>
                <w:sz w:val="14"/>
              </w:rPr>
              <w:t>人</w:t>
            </w:r>
          </w:p>
        </w:tc>
        <w:tc>
          <w:tcPr>
            <w:tcW w:w="636" w:type="dxa"/>
            <w:vMerge w:val="restart"/>
            <w:tcBorders>
              <w:top w:val="none" w:color="auto" w:sz="0" w:space="0"/>
              <w:left w:val="dotted" w:color="auto" w:sz="4" w:space="0"/>
              <w:bottom w:val="single"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8</w:t>
            </w:r>
            <w:r>
              <w:rPr>
                <w:rFonts w:hint="default" w:ascii="ＭＳ ゴシック" w:hAnsi="ＭＳ ゴシック" w:eastAsia="ＭＳ ゴシック"/>
                <w:sz w:val="14"/>
              </w:rPr>
              <w:t>3.</w:t>
            </w:r>
            <w:r>
              <w:rPr>
                <w:rFonts w:hint="eastAsia" w:ascii="ＭＳ ゴシック" w:hAnsi="ＭＳ ゴシック" w:eastAsia="ＭＳ ゴシック"/>
                <w:sz w:val="14"/>
              </w:rPr>
              <w:t>4</w:t>
            </w:r>
            <w:r>
              <w:rPr>
                <w:rFonts w:hint="eastAsia" w:ascii="ＭＳ ゴシック" w:hAnsi="ＭＳ ゴシック" w:eastAsia="ＭＳ ゴシック"/>
                <w:sz w:val="14"/>
              </w:rPr>
              <w:t>％</w:t>
            </w:r>
          </w:p>
        </w:tc>
      </w:tr>
      <w:tr>
        <w:tblPrEx>
          <w:tblCellMar>
            <w:left w:w="99" w:type="dxa"/>
            <w:right w:w="99" w:type="dxa"/>
          </w:tblCellMar>
        </w:tblPrEx>
        <w:trPr>
          <w:trHeight w:val="283" w:hRule="atLeast"/>
        </w:trPr>
        <w:tc>
          <w:tcPr>
            <w:tcW w:w="4536" w:type="dxa"/>
            <w:tcBorders>
              <w:top w:val="dotted" w:color="auto" w:sz="4" w:space="0"/>
              <w:left w:val="nil"/>
              <w:bottom w:val="dotted" w:color="auto" w:sz="4" w:space="0"/>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7" behindDoc="0" locked="0" layoutInCell="1" hidden="0" allowOverlap="1">
                      <wp:simplePos x="0" y="0"/>
                      <wp:positionH relativeFrom="column">
                        <wp:posOffset>2066290</wp:posOffset>
                      </wp:positionH>
                      <wp:positionV relativeFrom="paragraph">
                        <wp:posOffset>33020</wp:posOffset>
                      </wp:positionV>
                      <wp:extent cx="690880" cy="371475"/>
                      <wp:effectExtent l="635" t="635" r="29845" b="614045"/>
                      <wp:wrapNone/>
                      <wp:docPr id="1132" name="四角形吹き出し 20"/>
                      <a:graphic xmlns:a="http://schemas.openxmlformats.org/drawingml/2006/main">
                        <a:graphicData uri="http://schemas.microsoft.com/office/word/2010/wordprocessingShape">
                          <wps:wsp>
                            <wps:cNvPr id="1132" name="四角形吹き出し 20"/>
                            <wps:cNvSpPr/>
                            <wps:spPr>
                              <a:xfrm>
                                <a:off x="0" y="0"/>
                                <a:ext cx="690880" cy="371475"/>
                              </a:xfrm>
                              <a:prstGeom prst="wedgeRectCallout">
                                <a:avLst>
                                  <a:gd name="adj1" fmla="val 1402"/>
                                  <a:gd name="adj2" fmla="val 211933"/>
                                </a:avLst>
                              </a:prstGeom>
                              <a:ln>
                                <a:solidFill>
                                  <a:schemeClr val="bg2">
                                    <a:lumMod val="25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jc w:val="center"/>
                                    <w:rPr>
                                      <w:rFonts w:hint="default" w:ascii="ＭＳ ゴシック" w:hAnsi="ＭＳ ゴシック" w:eastAsia="ＭＳ ゴシック"/>
                                      <w:kern w:val="0"/>
                                      <w:sz w:val="12"/>
                                    </w:rPr>
                                  </w:pPr>
                                  <w:r>
                                    <w:rPr>
                                      <w:rFonts w:hint="eastAsia" w:ascii="ＭＳ ゴシック" w:hAnsi="ＭＳ ゴシック" w:eastAsia="ＭＳ ゴシック"/>
                                      <w:color w:val="000000"/>
                                      <w:sz w:val="12"/>
                                    </w:rPr>
                                    <w:t>生活機能低下の傾向矢印Ｂ</w:t>
                                  </w:r>
                                </w:p>
                                <w:p>
                                  <w:pPr>
                                    <w:pStyle w:val="0"/>
                                    <w:spacing w:line="120" w:lineRule="exact"/>
                                    <w:ind w:left="0" w:leftChars="-59" w:right="-108" w:rightChars="-45" w:hanging="142" w:hangingChars="118"/>
                                    <w:jc w:val="center"/>
                                    <w:rPr>
                                      <w:rFonts w:hint="default" w:ascii="ＭＳ ゴシック" w:hAnsi="ＭＳ ゴシック" w:eastAsia="ＭＳ ゴシック"/>
                                      <w:sz w:val="12"/>
                                    </w:rPr>
                                  </w:pPr>
                                  <w:r>
                                    <w:rPr>
                                      <w:rFonts w:hint="eastAsia" w:ascii="ＭＳ ゴシック" w:hAnsi="ＭＳ ゴシック" w:eastAsia="ＭＳ ゴシック"/>
                                      <w:color w:val="000000"/>
                                      <w:sz w:val="12"/>
                                    </w:rPr>
                                    <w:t>（介護予防「強」）</w:t>
                                  </w:r>
                                </w:p>
                              </w:txbxContent>
                            </wps:txbx>
                            <wps:bodyPr vertOverflow="clip" horzOverflow="clip" wrap="square" rtlCol="0"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style="mso-wrap-distance-right:9pt;mso-wrap-distance-bottom:0pt;margin-top:2.6pt;mso-position-vertical-relative:text;mso-position-horizontal-relative:text;v-text-anchor:middle;position:absolute;height:29.25pt;mso-wrap-distance-top:0pt;width:54.4pt;mso-wrap-distance-left:9pt;margin-left:162.69pt;z-index:87;" o:spid="_x0000_s1132" o:allowincell="t" o:allowoverlap="t" filled="t" fillcolor="#ffffff [3201]" stroked="t" strokecolor="#3a3838 [814]" strokeweight="1pt" o:spt="61" type="#_x0000_t61" adj="11103,56578">
                      <v:fill/>
                      <v:stroke linestyle="single" miterlimit="8" endcap="flat" dashstyle="solid" filltype="solid"/>
                      <v:textbox style="layout-flow:horizontal;">
                        <w:txbxContent>
                          <w:p>
                            <w:pPr>
                              <w:pStyle w:val="0"/>
                              <w:spacing w:line="120" w:lineRule="exact"/>
                              <w:jc w:val="center"/>
                              <w:rPr>
                                <w:rFonts w:hint="default" w:ascii="ＭＳ ゴシック" w:hAnsi="ＭＳ ゴシック" w:eastAsia="ＭＳ ゴシック"/>
                                <w:kern w:val="0"/>
                                <w:sz w:val="12"/>
                              </w:rPr>
                            </w:pPr>
                            <w:r>
                              <w:rPr>
                                <w:rFonts w:hint="eastAsia" w:ascii="ＭＳ ゴシック" w:hAnsi="ＭＳ ゴシック" w:eastAsia="ＭＳ ゴシック"/>
                                <w:color w:val="000000"/>
                                <w:sz w:val="12"/>
                              </w:rPr>
                              <w:t>生活機能低下の傾向矢印Ｂ</w:t>
                            </w:r>
                          </w:p>
                          <w:p>
                            <w:pPr>
                              <w:pStyle w:val="0"/>
                              <w:spacing w:line="120" w:lineRule="exact"/>
                              <w:ind w:left="0" w:leftChars="-59" w:right="-108" w:rightChars="-45" w:hanging="142" w:hangingChars="118"/>
                              <w:jc w:val="center"/>
                              <w:rPr>
                                <w:rFonts w:hint="default" w:ascii="ＭＳ ゴシック" w:hAnsi="ＭＳ ゴシック" w:eastAsia="ＭＳ ゴシック"/>
                                <w:sz w:val="12"/>
                              </w:rPr>
                            </w:pPr>
                            <w:r>
                              <w:rPr>
                                <w:rFonts w:hint="eastAsia" w:ascii="ＭＳ ゴシック" w:hAnsi="ＭＳ ゴシック" w:eastAsia="ＭＳ ゴシック"/>
                                <w:color w:val="000000"/>
                                <w:sz w:val="12"/>
                              </w:rPr>
                              <w:t>（介護予防「強」）</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4" behindDoc="0" locked="0" layoutInCell="1" hidden="0" allowOverlap="1">
                      <wp:simplePos x="0" y="0"/>
                      <wp:positionH relativeFrom="column">
                        <wp:posOffset>507365</wp:posOffset>
                      </wp:positionH>
                      <wp:positionV relativeFrom="paragraph">
                        <wp:posOffset>13335</wp:posOffset>
                      </wp:positionV>
                      <wp:extent cx="536575" cy="200025"/>
                      <wp:effectExtent l="635" t="635" r="29845" b="10795"/>
                      <wp:wrapNone/>
                      <wp:docPr id="1133" name="角丸四角形 3"/>
                      <a:graphic xmlns:a="http://schemas.openxmlformats.org/drawingml/2006/main">
                        <a:graphicData uri="http://schemas.microsoft.com/office/word/2010/wordprocessingShape">
                          <wps:wsp>
                            <wps:cNvPr id="1133" name="角丸四角形 3"/>
                            <wps:cNvSpPr/>
                            <wps:spPr>
                              <a:xfrm>
                                <a:off x="0" y="0"/>
                                <a:ext cx="536575" cy="200025"/>
                              </a:xfrm>
                              <a:prstGeom prst="roundRect">
                                <a:avLst/>
                              </a:prstGeom>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虚弱高齢者</w:t>
                                  </w:r>
                                </w:p>
                              </w:txbxContent>
                            </wps:txbx>
                            <wps:bodyPr vertOverflow="clip" horzOverflow="clip" wrap="square" rtlCol="0" anchor="t"/>
                          </wps:wsp>
                        </a:graphicData>
                      </a:graphic>
                    </wp:anchor>
                  </w:drawing>
                </mc:Choice>
                <mc:Fallback>
                  <w:pict>
                    <v:roundrect id="角丸四角形 3" style="mso-wrap-distance-right:9pt;mso-wrap-distance-bottom:0pt;margin-top:1.05pt;mso-position-vertical-relative:text;mso-position-horizontal-relative:text;v-text-anchor:top;position:absolute;height:15.75pt;mso-wrap-distance-top:0pt;width:42.25pt;mso-wrap-distance-left:9pt;margin-left:39.950000000000003pt;z-index:74;" o:spid="_x0000_s1133" o:allowincell="t" o:allowoverlap="t" filled="t" fillcolor="#ffffff [3201]"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虚弱高齢者</w:t>
                            </w:r>
                          </w:p>
                        </w:txbxContent>
                      </v:textbox>
                      <v:imagedata o:title=""/>
                      <w10:wrap type="none" anchorx="text" anchory="text"/>
                    </v:roundrect>
                  </w:pict>
                </mc:Fallback>
              </mc:AlternateContent>
            </w:r>
          </w:p>
        </w:tc>
        <w:tc>
          <w:tcPr>
            <w:tcW w:w="846" w:type="dxa"/>
            <w:tcBorders>
              <w:top w:val="dotted"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0" w:leftChars="-41" w:right="-110" w:rightChars="-46" w:hanging="98" w:hangingChars="70"/>
              <w:jc w:val="center"/>
              <w:rPr>
                <w:rFonts w:hint="default" w:ascii="ＭＳ ゴシック" w:hAnsi="ＭＳ ゴシック" w:eastAsia="ＭＳ ゴシック"/>
                <w:sz w:val="14"/>
              </w:rPr>
            </w:pPr>
            <w:r>
              <w:rPr>
                <w:rFonts w:hint="eastAsia" w:ascii="ＭＳ ゴシック" w:hAnsi="ＭＳ ゴシック" w:eastAsia="ＭＳ ゴシック"/>
                <w:sz w:val="14"/>
              </w:rPr>
              <w:t>虚弱高齢者</w:t>
            </w:r>
          </w:p>
        </w:tc>
        <w:tc>
          <w:tcPr>
            <w:tcW w:w="848"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wordWrap w:val="0"/>
              <w:jc w:val="right"/>
              <w:rPr>
                <w:rFonts w:hint="default" w:ascii="ＭＳ ゴシック" w:hAnsi="ＭＳ ゴシック" w:eastAsia="ＭＳ ゴシック"/>
                <w:sz w:val="14"/>
              </w:rPr>
            </w:pPr>
            <w:r>
              <w:rPr>
                <w:rFonts w:hint="eastAsia" w:ascii="ＭＳ ゴシック" w:hAnsi="ＭＳ ゴシック" w:eastAsia="ＭＳ ゴシック"/>
                <w:sz w:val="14"/>
              </w:rPr>
              <w:t>6,804</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9.</w:t>
            </w:r>
            <w:r>
              <w:rPr>
                <w:rFonts w:hint="eastAsia" w:ascii="ＭＳ ゴシック" w:hAnsi="ＭＳ ゴシック" w:eastAsia="ＭＳ ゴシック"/>
                <w:sz w:val="14"/>
              </w:rPr>
              <w:t>5</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single" w:color="auto" w:sz="4"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single"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single" w:color="auto" w:sz="4"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single"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r>
      <w:tr>
        <w:trPr>
          <w:trHeight w:val="283" w:hRule="atLeast"/>
        </w:trPr>
        <w:tc>
          <w:tcPr>
            <w:tcW w:w="4536" w:type="dxa"/>
            <w:tcBorders>
              <w:top w:val="dotted" w:color="auto" w:sz="4" w:space="0"/>
              <w:left w:val="nil"/>
              <w:bottom w:val="dotted" w:color="auto" w:sz="4" w:space="0"/>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9" behindDoc="0" locked="0" layoutInCell="1" hidden="0" allowOverlap="1">
                      <wp:simplePos x="0" y="0"/>
                      <wp:positionH relativeFrom="column">
                        <wp:posOffset>492760</wp:posOffset>
                      </wp:positionH>
                      <wp:positionV relativeFrom="paragraph">
                        <wp:posOffset>491490</wp:posOffset>
                      </wp:positionV>
                      <wp:extent cx="2020570" cy="687705"/>
                      <wp:effectExtent l="569595" t="0" r="311785" b="0"/>
                      <wp:wrapNone/>
                      <wp:docPr id="1134" name="上カーブ矢印 23"/>
                      <a:graphic xmlns:a="http://schemas.openxmlformats.org/drawingml/2006/main">
                        <a:graphicData uri="http://schemas.microsoft.com/office/word/2010/wordprocessingShape">
                          <wps:wsp>
                            <wps:cNvPr id="1134" name="上カーブ矢印 23"/>
                            <wps:cNvSpPr/>
                            <wps:spPr>
                              <a:xfrm rot="18600000">
                                <a:off x="0" y="0"/>
                                <a:ext cx="2020570" cy="68770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3" style="mso-wrap-distance-right:9pt;mso-wrap-distance-bottom:0pt;margin-top:38.700000000000003pt;mso-position-vertical-relative:text;mso-position-horizontal-relative:text;position:absolute;height:54.15pt;mso-wrap-distance-top:0pt;width:159.1pt;mso-wrap-distance-left:9pt;margin-left:38.79pt;z-index:89;rotation:310;" o:spid="_x0000_s1134" o:allowincell="t" o:allowoverlap="t" filled="t" fillcolor="#4472c4 [3204]" stroked="t" strokecolor="#32528f" strokeweight="1pt" o:spt="104" type="#_x0000_t104" adj="11182,18900,54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75" behindDoc="0" locked="0" layoutInCell="1" hidden="0" allowOverlap="1">
                      <wp:simplePos x="0" y="0"/>
                      <wp:positionH relativeFrom="column">
                        <wp:posOffset>510540</wp:posOffset>
                      </wp:positionH>
                      <wp:positionV relativeFrom="paragraph">
                        <wp:posOffset>20955</wp:posOffset>
                      </wp:positionV>
                      <wp:extent cx="536575" cy="186055"/>
                      <wp:effectExtent l="635" t="635" r="29845" b="10795"/>
                      <wp:wrapNone/>
                      <wp:docPr id="1135" name="角丸四角形 3"/>
                      <a:graphic xmlns:a="http://schemas.openxmlformats.org/drawingml/2006/main">
                        <a:graphicData uri="http://schemas.microsoft.com/office/word/2010/wordprocessingShape">
                          <wps:wsp>
                            <wps:cNvPr id="1135" name="角丸四角形 3"/>
                            <wps:cNvSpPr/>
                            <wps:spPr>
                              <a:xfrm>
                                <a:off x="0" y="0"/>
                                <a:ext cx="536575" cy="186055"/>
                              </a:xfrm>
                              <a:prstGeom prst="roundRect">
                                <a:avLst/>
                              </a:prstGeom>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事業対象者</w:t>
                                  </w:r>
                                </w:p>
                              </w:txbxContent>
                            </wps:txbx>
                            <wps:bodyPr vertOverflow="clip" horzOverflow="clip" wrap="square" rtlCol="0" anchor="t"/>
                          </wps:wsp>
                        </a:graphicData>
                      </a:graphic>
                    </wp:anchor>
                  </w:drawing>
                </mc:Choice>
                <mc:Fallback>
                  <w:pict>
                    <v:roundrect id="角丸四角形 3" style="mso-wrap-distance-right:9pt;mso-wrap-distance-bottom:0pt;margin-top:1.65pt;mso-position-vertical-relative:text;mso-position-horizontal-relative:text;v-text-anchor:top;position:absolute;height:14.65pt;mso-wrap-distance-top:0pt;width:42.25pt;mso-wrap-distance-left:9pt;margin-left:40.200000000000003pt;z-index:75;" o:spid="_x0000_s1135" o:allowincell="t" o:allowoverlap="t" filled="t" fillcolor="#ffffff [3201]"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事業対象者</w:t>
                            </w:r>
                          </w:p>
                        </w:txbxContent>
                      </v:textbox>
                      <v:imagedata o:title=""/>
                      <w10:wrap type="none" anchorx="text" anchory="text"/>
                    </v:roundrect>
                  </w:pict>
                </mc:Fallback>
              </mc:AlternateContent>
            </w:r>
          </w:p>
        </w:tc>
        <w:tc>
          <w:tcPr>
            <w:tcW w:w="846" w:type="dxa"/>
            <w:tcBorders>
              <w:top w:val="single"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0" w:leftChars="-41" w:right="-110" w:rightChars="-46" w:hanging="98" w:hangingChars="70"/>
              <w:jc w:val="center"/>
              <w:rPr>
                <w:rFonts w:hint="default" w:ascii="ＭＳ ゴシック" w:hAnsi="ＭＳ ゴシック" w:eastAsia="ＭＳ ゴシック"/>
                <w:sz w:val="14"/>
              </w:rPr>
            </w:pPr>
            <w:r>
              <w:rPr>
                <w:rFonts w:hint="eastAsia" w:ascii="ＭＳ ゴシック" w:hAnsi="ＭＳ ゴシック" w:eastAsia="ＭＳ ゴシック"/>
                <w:sz w:val="14"/>
              </w:rPr>
              <w:t>事業対象者</w:t>
            </w:r>
          </w:p>
        </w:tc>
        <w:tc>
          <w:tcPr>
            <w:tcW w:w="848"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71</w:t>
            </w:r>
            <w:r>
              <w:rPr>
                <w:rFonts w:hint="eastAsia" w:ascii="ＭＳ ゴシック" w:hAnsi="ＭＳ ゴシック" w:eastAsia="ＭＳ ゴシック"/>
                <w:sz w:val="14"/>
              </w:rPr>
              <w:t>人</w:t>
            </w:r>
          </w:p>
        </w:tc>
        <w:tc>
          <w:tcPr>
            <w:tcW w:w="711"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w:t>
            </w:r>
            <w:r>
              <w:rPr>
                <w:rFonts w:hint="eastAsia" w:ascii="ＭＳ ゴシック" w:hAnsi="ＭＳ ゴシック" w:eastAsia="ＭＳ ゴシック"/>
                <w:sz w:val="14"/>
              </w:rPr>
              <w:t>0</w:t>
            </w:r>
            <w:r>
              <w:rPr>
                <w:rFonts w:hint="eastAsia" w:ascii="ＭＳ ゴシック" w:hAnsi="ＭＳ ゴシック" w:eastAsia="ＭＳ ゴシック"/>
                <w:sz w:val="14"/>
              </w:rPr>
              <w:t>％</w:t>
            </w:r>
          </w:p>
        </w:tc>
        <w:tc>
          <w:tcPr>
            <w:tcW w:w="844" w:type="dxa"/>
            <w:vMerge w:val="restart"/>
            <w:tcBorders>
              <w:top w:val="single" w:color="auto" w:sz="4"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w:t>
            </w:r>
            <w:r>
              <w:rPr>
                <w:rFonts w:hint="eastAsia" w:ascii="ＭＳ ゴシック" w:hAnsi="ＭＳ ゴシック" w:eastAsia="ＭＳ ゴシック"/>
                <w:sz w:val="14"/>
              </w:rPr>
              <w:t>788</w:t>
            </w:r>
            <w:r>
              <w:rPr>
                <w:rFonts w:hint="eastAsia" w:ascii="ＭＳ ゴシック" w:hAnsi="ＭＳ ゴシック" w:eastAsia="ＭＳ ゴシック"/>
                <w:sz w:val="14"/>
              </w:rPr>
              <w:t>人</w:t>
            </w:r>
          </w:p>
        </w:tc>
        <w:tc>
          <w:tcPr>
            <w:tcW w:w="715" w:type="dxa"/>
            <w:vMerge w:val="restart"/>
            <w:tcBorders>
              <w:top w:val="single" w:color="auto" w:sz="4"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5</w:t>
            </w:r>
            <w:r>
              <w:rPr>
                <w:rFonts w:hint="default" w:ascii="ＭＳ ゴシック" w:hAnsi="ＭＳ ゴシック" w:eastAsia="ＭＳ ゴシック"/>
                <w:sz w:val="14"/>
              </w:rPr>
              <w:t>.</w:t>
            </w:r>
            <w:r>
              <w:rPr>
                <w:rFonts w:hint="eastAsia" w:ascii="ＭＳ ゴシック" w:hAnsi="ＭＳ ゴシック" w:eastAsia="ＭＳ ゴシック"/>
                <w:sz w:val="14"/>
              </w:rPr>
              <w:t>1</w:t>
            </w:r>
            <w:r>
              <w:rPr>
                <w:rFonts w:hint="eastAsia" w:ascii="ＭＳ ゴシック" w:hAnsi="ＭＳ ゴシック" w:eastAsia="ＭＳ ゴシック"/>
                <w:sz w:val="14"/>
              </w:rPr>
              <w:t>％</w:t>
            </w:r>
          </w:p>
        </w:tc>
        <w:tc>
          <w:tcPr>
            <w:tcW w:w="782" w:type="dxa"/>
            <w:vMerge w:val="restart"/>
            <w:tcBorders>
              <w:top w:val="single" w:color="auto" w:sz="4"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5</w:t>
            </w:r>
            <w:r>
              <w:rPr>
                <w:rFonts w:hint="default" w:ascii="ＭＳ ゴシック" w:hAnsi="ＭＳ ゴシック" w:eastAsia="ＭＳ ゴシック"/>
                <w:sz w:val="14"/>
              </w:rPr>
              <w:t>,</w:t>
            </w:r>
            <w:r>
              <w:rPr>
                <w:rFonts w:hint="eastAsia" w:ascii="ＭＳ ゴシック" w:hAnsi="ＭＳ ゴシック" w:eastAsia="ＭＳ ゴシック"/>
                <w:sz w:val="14"/>
              </w:rPr>
              <w:t>779</w:t>
            </w:r>
            <w:r>
              <w:rPr>
                <w:rFonts w:hint="eastAsia" w:ascii="ＭＳ ゴシック" w:hAnsi="ＭＳ ゴシック" w:eastAsia="ＭＳ ゴシック"/>
                <w:sz w:val="14"/>
              </w:rPr>
              <w:t>人</w:t>
            </w:r>
          </w:p>
        </w:tc>
        <w:tc>
          <w:tcPr>
            <w:tcW w:w="636" w:type="dxa"/>
            <w:vMerge w:val="restart"/>
            <w:tcBorders>
              <w:top w:val="single" w:color="auto" w:sz="4"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6.</w:t>
            </w:r>
            <w:r>
              <w:rPr>
                <w:rFonts w:hint="eastAsia" w:ascii="ＭＳ ゴシック" w:hAnsi="ＭＳ ゴシック" w:eastAsia="ＭＳ ゴシック"/>
                <w:sz w:val="14"/>
              </w:rPr>
              <w:t>6</w:t>
            </w:r>
            <w:r>
              <w:rPr>
                <w:rFonts w:hint="eastAsia" w:ascii="ＭＳ ゴシック" w:hAnsi="ＭＳ ゴシック" w:eastAsia="ＭＳ ゴシック"/>
                <w:sz w:val="14"/>
              </w:rPr>
              <w:t>％</w:t>
            </w:r>
          </w:p>
        </w:tc>
      </w:tr>
      <w:tr>
        <w:trPr>
          <w:trHeight w:val="283" w:hRule="atLeast"/>
        </w:trPr>
        <w:tc>
          <w:tcPr>
            <w:tcW w:w="4536" w:type="dxa"/>
            <w:tcBorders>
              <w:top w:val="dotted" w:color="auto" w:sz="4" w:space="0"/>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4" behindDoc="0" locked="0" layoutInCell="1" hidden="0" allowOverlap="1">
                      <wp:simplePos x="0" y="0"/>
                      <wp:positionH relativeFrom="column">
                        <wp:posOffset>395605</wp:posOffset>
                      </wp:positionH>
                      <wp:positionV relativeFrom="paragraph">
                        <wp:posOffset>-116840</wp:posOffset>
                      </wp:positionV>
                      <wp:extent cx="1012825" cy="1574800"/>
                      <wp:effectExtent l="21590" t="19685" r="48260" b="38735"/>
                      <wp:wrapNone/>
                      <wp:docPr id="1136" name="直線矢印コネクタ 22"/>
                      <a:graphic xmlns:a="http://schemas.openxmlformats.org/drawingml/2006/main">
                        <a:graphicData uri="http://schemas.microsoft.com/office/word/2010/wordprocessingShape">
                          <wps:wsp>
                            <wps:cNvPr id="1136" name="直線矢印コネクタ 22"/>
                            <wps:cNvCnPr/>
                            <wps:spPr>
                              <a:xfrm>
                                <a:off x="0" y="0"/>
                                <a:ext cx="1012825" cy="1574800"/>
                              </a:xfrm>
                              <a:prstGeom prst="straightConnector1">
                                <a:avLst/>
                              </a:prstGeom>
                              <a:ln w="50800">
                                <a:solidFill>
                                  <a:schemeClr val="bg2">
                                    <a:lumMod val="25000"/>
                                  </a:schemeClr>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 style="mso-wrap-distance-right:9pt;mso-wrap-distance-bottom:0pt;margin-top:-9.19pt;mso-position-vertical-relative:text;mso-position-horizontal-relative:text;position:absolute;height:124pt;mso-wrap-distance-top:0pt;width:79.75pt;mso-wrap-distance-left:9pt;margin-left:31.15pt;z-index:84;" o:spid="_x0000_s1136" o:allowincell="t" o:allowoverlap="t" filled="f" stroked="t" strokecolor="#3a3838 [814]" strokeweight="4pt" o:spt="32" type="#_x0000_t32">
                      <v:fill/>
                      <v:stroke linestyle="single" miterlimit="8" endcap="flat" dashstyle="solid" filltype="solid" endarrow="classic" endarrowwidth="wide" endarrowlength="long"/>
                      <v:imagedata o:title=""/>
                      <w10:wrap type="none" anchorx="text" anchory="text"/>
                    </v:shape>
                  </w:pict>
                </mc:Fallback>
              </mc:AlternateContent>
            </w:r>
            <w:r>
              <w:rPr>
                <w:rFonts w:hint="default"/>
              </w:rPr>
              <mc:AlternateContent>
                <mc:Choice Requires="wps">
                  <w:drawing>
                    <wp:anchor distT="0" distB="0" distL="114300" distR="114300" simplePos="0" relativeHeight="76" behindDoc="0" locked="0" layoutInCell="1" hidden="0" allowOverlap="1">
                      <wp:simplePos x="0" y="0"/>
                      <wp:positionH relativeFrom="column">
                        <wp:posOffset>775335</wp:posOffset>
                      </wp:positionH>
                      <wp:positionV relativeFrom="paragraph">
                        <wp:posOffset>24765</wp:posOffset>
                      </wp:positionV>
                      <wp:extent cx="536575" cy="181610"/>
                      <wp:effectExtent l="635" t="635" r="29845" b="10795"/>
                      <wp:wrapNone/>
                      <wp:docPr id="1137" name="角丸四角形 3"/>
                      <a:graphic xmlns:a="http://schemas.openxmlformats.org/drawingml/2006/main">
                        <a:graphicData uri="http://schemas.microsoft.com/office/word/2010/wordprocessingShape">
                          <wps:wsp>
                            <wps:cNvPr id="1137" name="角丸四角形 3"/>
                            <wps:cNvSpPr/>
                            <wps:spPr>
                              <a:xfrm>
                                <a:off x="0" y="0"/>
                                <a:ext cx="536575" cy="181610"/>
                              </a:xfrm>
                              <a:prstGeom prst="roundRect">
                                <a:avLst/>
                              </a:prstGeom>
                              <a:solidFill>
                                <a:schemeClr val="accent5">
                                  <a:lumMod val="20000"/>
                                  <a:lumOff val="80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要支援１</w:t>
                                  </w:r>
                                </w:p>
                              </w:txbxContent>
                            </wps:txbx>
                            <wps:bodyPr vertOverflow="clip" horzOverflow="clip" wrap="square" rtlCol="0" anchor="t"/>
                          </wps:wsp>
                        </a:graphicData>
                      </a:graphic>
                    </wp:anchor>
                  </w:drawing>
                </mc:Choice>
                <mc:Fallback>
                  <w:pict>
                    <v:roundrect id="角丸四角形 3" style="mso-wrap-distance-right:9pt;mso-wrap-distance-bottom:0pt;margin-top:1.95pt;mso-position-vertical-relative:text;mso-position-horizontal-relative:text;v-text-anchor:top;position:absolute;height:14.3pt;mso-wrap-distance-top:0pt;width:42.25pt;mso-wrap-distance-left:9pt;margin-left:61.05pt;z-index:76;" o:spid="_x0000_s1137" o:allowincell="t" o:allowoverlap="t" filled="t" fillcolor="#dfecf7 [66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要支援１</w:t>
                            </w:r>
                          </w:p>
                        </w:txbxContent>
                      </v:textbox>
                      <v:imagedata o:title=""/>
                      <w10:wrap type="none" anchorx="text" anchory="text"/>
                    </v:roundrect>
                  </w:pict>
                </mc:Fallback>
              </mc:AlternateContent>
            </w:r>
          </w:p>
        </w:tc>
        <w:tc>
          <w:tcPr>
            <w:tcW w:w="846"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要支援１</w:t>
            </w:r>
          </w:p>
        </w:tc>
        <w:tc>
          <w:tcPr>
            <w:tcW w:w="8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652</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w:t>
            </w:r>
            <w:r>
              <w:rPr>
                <w:rFonts w:hint="eastAsia" w:ascii="ＭＳ ゴシック" w:hAnsi="ＭＳ ゴシック" w:eastAsia="ＭＳ ゴシック"/>
                <w:sz w:val="14"/>
              </w:rPr>
              <w:t>9</w:t>
            </w:r>
            <w:r>
              <w:rPr>
                <w:rFonts w:hint="eastAsia" w:ascii="ＭＳ ゴシック" w:hAnsi="ＭＳ ゴシック" w:eastAsia="ＭＳ ゴシック"/>
                <w:sz w:val="14"/>
              </w:rPr>
              <w:t>％</w:t>
            </w:r>
          </w:p>
        </w:tc>
        <w:tc>
          <w:tcPr>
            <w:tcW w:w="844" w:type="dxa"/>
            <w:vMerge w:val="continue"/>
            <w:tcBorders>
              <w:top w:val="nil"/>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715" w:type="dxa"/>
            <w:vMerge w:val="continue"/>
            <w:tcBorders>
              <w:top w:val="nil"/>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782" w:type="dxa"/>
            <w:vMerge w:val="continue"/>
            <w:tcBorders>
              <w:top w:val="nil"/>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il"/>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nil"/>
              <w:left w:val="nil"/>
              <w:bottom w:val="dotted" w:color="auto" w:sz="4" w:space="0"/>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3" behindDoc="0" locked="0" layoutInCell="1" hidden="0" allowOverlap="1">
                      <wp:simplePos x="0" y="0"/>
                      <wp:positionH relativeFrom="column">
                        <wp:posOffset>1082040</wp:posOffset>
                      </wp:positionH>
                      <wp:positionV relativeFrom="paragraph">
                        <wp:posOffset>-764540</wp:posOffset>
                      </wp:positionV>
                      <wp:extent cx="1489710" cy="1355090"/>
                      <wp:effectExtent l="19685" t="19685" r="48260" b="38735"/>
                      <wp:wrapNone/>
                      <wp:docPr id="1138" name="直線矢印コネクタ 22"/>
                      <a:graphic xmlns:a="http://schemas.openxmlformats.org/drawingml/2006/main">
                        <a:graphicData uri="http://schemas.microsoft.com/office/word/2010/wordprocessingShape">
                          <wps:wsp>
                            <wps:cNvPr id="1138" name="直線矢印コネクタ 22"/>
                            <wps:cNvCnPr/>
                            <wps:spPr>
                              <a:xfrm>
                                <a:off x="0" y="0"/>
                                <a:ext cx="1489710" cy="1355090"/>
                              </a:xfrm>
                              <a:prstGeom prst="straightConnector1">
                                <a:avLst/>
                              </a:prstGeom>
                              <a:ln w="50800">
                                <a:solidFill>
                                  <a:schemeClr val="bg2">
                                    <a:lumMod val="25000"/>
                                  </a:schemeClr>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 style="mso-wrap-distance-right:9pt;mso-wrap-distance-bottom:0pt;margin-top:-60.2pt;mso-position-vertical-relative:text;mso-position-horizontal-relative:text;position:absolute;height:106.7pt;mso-wrap-distance-top:0pt;width:117.3pt;mso-wrap-distance-left:9pt;margin-left:85.2pt;z-index:83;" o:spid="_x0000_s1138" o:allowincell="t" o:allowoverlap="t" filled="f" stroked="t" strokecolor="#3a3838 [814]" strokeweight="4pt" o:spt="32" type="#_x0000_t32">
                      <v:fill/>
                      <v:stroke linestyle="single" miterlimit="8" endcap="flat" dashstyle="solid" filltype="solid" endarrow="classic" endarrowwidth="wide" endarrowlength="long"/>
                      <v:imagedata o:title=""/>
                      <w10:wrap type="none" anchorx="text" anchory="text"/>
                    </v:shape>
                  </w:pict>
                </mc:Fallback>
              </mc:AlternateContent>
            </w:r>
            <w:r>
              <w:rPr>
                <w:rFonts w:hint="default"/>
              </w:rPr>
              <mc:AlternateContent>
                <mc:Choice Requires="wps">
                  <w:drawing>
                    <wp:anchor distT="0" distB="0" distL="114300" distR="114300" simplePos="0" relativeHeight="77" behindDoc="0" locked="0" layoutInCell="1" hidden="0" allowOverlap="1">
                      <wp:simplePos x="0" y="0"/>
                      <wp:positionH relativeFrom="column">
                        <wp:posOffset>933450</wp:posOffset>
                      </wp:positionH>
                      <wp:positionV relativeFrom="paragraph">
                        <wp:posOffset>13970</wp:posOffset>
                      </wp:positionV>
                      <wp:extent cx="536575" cy="179070"/>
                      <wp:effectExtent l="635" t="635" r="29845" b="10795"/>
                      <wp:wrapNone/>
                      <wp:docPr id="1139" name="角丸四角形 3"/>
                      <a:graphic xmlns:a="http://schemas.openxmlformats.org/drawingml/2006/main">
                        <a:graphicData uri="http://schemas.microsoft.com/office/word/2010/wordprocessingShape">
                          <wps:wsp>
                            <wps:cNvPr id="1139" name="角丸四角形 3"/>
                            <wps:cNvSpPr/>
                            <wps:spPr>
                              <a:xfrm>
                                <a:off x="0" y="0"/>
                                <a:ext cx="536575" cy="179070"/>
                              </a:xfrm>
                              <a:prstGeom prst="roundRect">
                                <a:avLst/>
                              </a:prstGeom>
                              <a:solidFill>
                                <a:schemeClr val="accent5">
                                  <a:lumMod val="40000"/>
                                  <a:lumOff val="60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要支援２</w:t>
                                  </w:r>
                                </w:p>
                              </w:txbxContent>
                            </wps:txbx>
                            <wps:bodyPr vertOverflow="clip" horzOverflow="clip" wrap="square" rtlCol="0" anchor="t"/>
                          </wps:wsp>
                        </a:graphicData>
                      </a:graphic>
                    </wp:anchor>
                  </w:drawing>
                </mc:Choice>
                <mc:Fallback>
                  <w:pict>
                    <v:roundrect id="角丸四角形 3" style="mso-wrap-distance-right:9pt;mso-wrap-distance-bottom:0pt;margin-top:1.1000000000000001pt;mso-position-vertical-relative:text;mso-position-horizontal-relative:text;v-text-anchor:top;position:absolute;height:14.1pt;mso-wrap-distance-top:0pt;width:42.25pt;mso-wrap-distance-left:9pt;margin-left:73.5pt;z-index:77;" o:spid="_x0000_s1139" o:allowincell="t" o:allowoverlap="t" filled="t" fillcolor="#bdd7ee [130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要支援２</w:t>
                            </w:r>
                          </w:p>
                        </w:txbxContent>
                      </v:textbox>
                      <v:imagedata o:title=""/>
                      <w10:wrap type="none" anchorx="text" anchory="text"/>
                    </v:roundrect>
                  </w:pict>
                </mc:Fallback>
              </mc:AlternateContent>
            </w:r>
          </w:p>
        </w:tc>
        <w:tc>
          <w:tcPr>
            <w:tcW w:w="846" w:type="dxa"/>
            <w:tcBorders>
              <w:top w:val="dotted"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要支援２</w:t>
            </w:r>
          </w:p>
        </w:tc>
        <w:tc>
          <w:tcPr>
            <w:tcW w:w="848"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765</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w:t>
            </w:r>
            <w:r>
              <w:rPr>
                <w:rFonts w:hint="eastAsia" w:ascii="ＭＳ ゴシック" w:hAnsi="ＭＳ ゴシック" w:eastAsia="ＭＳ ゴシック"/>
                <w:sz w:val="14"/>
              </w:rPr>
              <w:t>2</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dotted" w:color="auto" w:sz="4" w:space="0"/>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5" behindDoc="0" locked="0" layoutInCell="1" hidden="0" allowOverlap="1">
                      <wp:simplePos x="0" y="0"/>
                      <wp:positionH relativeFrom="column">
                        <wp:posOffset>2499360</wp:posOffset>
                      </wp:positionH>
                      <wp:positionV relativeFrom="paragraph">
                        <wp:posOffset>188595</wp:posOffset>
                      </wp:positionV>
                      <wp:extent cx="386715" cy="358775"/>
                      <wp:effectExtent l="0" t="0" r="635" b="635"/>
                      <wp:wrapNone/>
                      <wp:docPr id="1140" name="テキスト ボックス 15"/>
                      <a:graphic xmlns:a="http://schemas.openxmlformats.org/drawingml/2006/main">
                        <a:graphicData uri="http://schemas.microsoft.com/office/word/2010/wordprocessingShape">
                          <wps:wsp>
                            <wps:cNvPr id="1140" name="テキスト ボックス 15"/>
                            <wps:cNvSpPr txBox="1"/>
                            <wps:spPr>
                              <a:xfrm>
                                <a:off x="0" y="0"/>
                                <a:ext cx="386715"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ＭＳ ゴシック" w:hAnsi="ＭＳ ゴシック" w:eastAsia="ＭＳ ゴシック"/>
                                      <w:kern w:val="0"/>
                                      <w:sz w:val="10"/>
                                    </w:rPr>
                                  </w:pPr>
                                  <w:r>
                                    <w:rPr>
                                      <w:rFonts w:hint="eastAsia" w:ascii="ＭＳ ゴシック" w:hAnsi="ＭＳ ゴシック" w:eastAsia="ＭＳ ゴシック"/>
                                      <w:color w:val="000000" w:themeColor="dark1"/>
                                      <w:sz w:val="21"/>
                                    </w:rPr>
                                    <w:t>Ｂ</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14.85pt;mso-position-vertical-relative:text;mso-position-horizontal-relative:text;v-text-anchor:top;position:absolute;height:28.25pt;mso-wrap-distance-top:0pt;width:30.45pt;mso-wrap-distance-left:9pt;margin-left:196.8pt;z-index:85;" o:spid="_x0000_s1140" o:allowincell="t" o:allowoverlap="t" filled="f" stroked="f" strokeweight="0.75pt" o:spt="202" type="#_x0000_t202">
                      <v:fill/>
                      <v:stroke linestyle="single"/>
                      <v:textbox style="layout-flow:horizontal;">
                        <w:txbxContent>
                          <w:p>
                            <w:pPr>
                              <w:pStyle w:val="0"/>
                              <w:jc w:val="center"/>
                              <w:rPr>
                                <w:rFonts w:hint="default" w:ascii="ＭＳ ゴシック" w:hAnsi="ＭＳ ゴシック" w:eastAsia="ＭＳ ゴシック"/>
                                <w:kern w:val="0"/>
                                <w:sz w:val="10"/>
                              </w:rPr>
                            </w:pPr>
                            <w:r>
                              <w:rPr>
                                <w:rFonts w:hint="eastAsia" w:ascii="ＭＳ ゴシック" w:hAnsi="ＭＳ ゴシック" w:eastAsia="ＭＳ ゴシック"/>
                                <w:color w:val="000000" w:themeColor="dark1"/>
                                <w:sz w:val="21"/>
                              </w:rPr>
                              <w:t>Ｂ</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78" behindDoc="0" locked="0" layoutInCell="1" hidden="0" allowOverlap="1">
                      <wp:simplePos x="0" y="0"/>
                      <wp:positionH relativeFrom="column">
                        <wp:posOffset>1113155</wp:posOffset>
                      </wp:positionH>
                      <wp:positionV relativeFrom="paragraph">
                        <wp:posOffset>27305</wp:posOffset>
                      </wp:positionV>
                      <wp:extent cx="536575" cy="178435"/>
                      <wp:effectExtent l="635" t="635" r="29845" b="10795"/>
                      <wp:wrapNone/>
                      <wp:docPr id="1141" name="角丸四角形 3"/>
                      <a:graphic xmlns:a="http://schemas.openxmlformats.org/drawingml/2006/main">
                        <a:graphicData uri="http://schemas.microsoft.com/office/word/2010/wordprocessingShape">
                          <wps:wsp>
                            <wps:cNvPr id="1141" name="角丸四角形 3"/>
                            <wps:cNvSpPr/>
                            <wps:spPr>
                              <a:xfrm>
                                <a:off x="0" y="0"/>
                                <a:ext cx="536575" cy="178435"/>
                              </a:xfrm>
                              <a:prstGeom prst="roundRect">
                                <a:avLst/>
                              </a:prstGeom>
                              <a:solidFill>
                                <a:schemeClr val="accent5">
                                  <a:lumMod val="60000"/>
                                  <a:lumOff val="40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要介護１</w:t>
                                  </w:r>
                                </w:p>
                              </w:txbxContent>
                            </wps:txbx>
                            <wps:bodyPr vertOverflow="clip" horzOverflow="clip" wrap="square" rtlCol="0" anchor="t"/>
                          </wps:wsp>
                        </a:graphicData>
                      </a:graphic>
                    </wp:anchor>
                  </w:drawing>
                </mc:Choice>
                <mc:Fallback>
                  <w:pict>
                    <v:roundrect id="角丸四角形 3" style="mso-wrap-distance-right:9pt;mso-wrap-distance-bottom:0pt;margin-top:2.15pt;mso-position-vertical-relative:text;mso-position-horizontal-relative:text;v-text-anchor:top;position:absolute;height:14.05pt;mso-wrap-distance-top:0pt;width:42.25pt;mso-wrap-distance-left:9pt;margin-left:87.65pt;z-index:78;" o:spid="_x0000_s1141" o:allowincell="t" o:allowoverlap="t" filled="t" fillcolor="#9dc4e6 [194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要介護１</w:t>
                            </w:r>
                          </w:p>
                        </w:txbxContent>
                      </v:textbox>
                      <v:imagedata o:title=""/>
                      <w10:wrap type="none" anchorx="text" anchory="text"/>
                    </v:roundrect>
                  </w:pict>
                </mc:Fallback>
              </mc:AlternateContent>
            </w:r>
          </w:p>
        </w:tc>
        <w:tc>
          <w:tcPr>
            <w:tcW w:w="846" w:type="dxa"/>
            <w:tcBorders>
              <w:top w:val="none" w:color="auto" w:sz="0"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要介護１</w:t>
            </w:r>
          </w:p>
        </w:tc>
        <w:tc>
          <w:tcPr>
            <w:tcW w:w="848"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,1</w:t>
            </w:r>
            <w:r>
              <w:rPr>
                <w:rFonts w:hint="eastAsia" w:ascii="ＭＳ ゴシック" w:hAnsi="ＭＳ ゴシック" w:eastAsia="ＭＳ ゴシック"/>
                <w:sz w:val="14"/>
              </w:rPr>
              <w:t>55</w:t>
            </w:r>
            <w:r>
              <w:rPr>
                <w:rFonts w:hint="eastAsia" w:ascii="ＭＳ ゴシック" w:hAnsi="ＭＳ ゴシック" w:eastAsia="ＭＳ ゴシック"/>
                <w:sz w:val="14"/>
              </w:rPr>
              <w:t>人</w:t>
            </w:r>
          </w:p>
        </w:tc>
        <w:tc>
          <w:tcPr>
            <w:tcW w:w="711"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w:t>
            </w:r>
            <w:r>
              <w:rPr>
                <w:rFonts w:hint="eastAsia" w:ascii="ＭＳ ゴシック" w:hAnsi="ＭＳ ゴシック" w:eastAsia="ＭＳ ゴシック"/>
                <w:sz w:val="14"/>
              </w:rPr>
              <w:t>3</w:t>
            </w:r>
            <w:r>
              <w:rPr>
                <w:rFonts w:hint="eastAsia" w:ascii="ＭＳ ゴシック" w:hAnsi="ＭＳ ゴシック" w:eastAsia="ＭＳ ゴシック"/>
                <w:sz w:val="14"/>
              </w:rPr>
              <w:t>％</w:t>
            </w:r>
          </w:p>
        </w:tc>
        <w:tc>
          <w:tcPr>
            <w:tcW w:w="844" w:type="dxa"/>
            <w:vMerge w:val="restart"/>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w:t>
            </w:r>
            <w:r>
              <w:rPr>
                <w:rFonts w:hint="eastAsia" w:ascii="ＭＳ ゴシック" w:hAnsi="ＭＳ ゴシック" w:eastAsia="ＭＳ ゴシック"/>
                <w:sz w:val="14"/>
              </w:rPr>
              <w:t>991</w:t>
            </w:r>
            <w:r>
              <w:rPr>
                <w:rFonts w:hint="eastAsia" w:ascii="ＭＳ ゴシック" w:hAnsi="ＭＳ ゴシック" w:eastAsia="ＭＳ ゴシック"/>
                <w:sz w:val="14"/>
              </w:rPr>
              <w:t>人</w:t>
            </w:r>
          </w:p>
        </w:tc>
        <w:tc>
          <w:tcPr>
            <w:tcW w:w="715" w:type="dxa"/>
            <w:vMerge w:val="restart"/>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1.</w:t>
            </w:r>
            <w:r>
              <w:rPr>
                <w:rFonts w:hint="eastAsia" w:ascii="ＭＳ ゴシック" w:hAnsi="ＭＳ ゴシック" w:eastAsia="ＭＳ ゴシック"/>
                <w:sz w:val="14"/>
              </w:rPr>
              <w:t>5</w:t>
            </w:r>
            <w:r>
              <w:rPr>
                <w:rFonts w:hint="eastAsia" w:ascii="ＭＳ ゴシック" w:hAnsi="ＭＳ ゴシック" w:eastAsia="ＭＳ ゴシック"/>
                <w:sz w:val="14"/>
              </w:rPr>
              <w:t>％</w:t>
            </w: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nil"/>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79" behindDoc="0" locked="0" layoutInCell="1" hidden="0" allowOverlap="1">
                      <wp:simplePos x="0" y="0"/>
                      <wp:positionH relativeFrom="column">
                        <wp:posOffset>1311910</wp:posOffset>
                      </wp:positionH>
                      <wp:positionV relativeFrom="paragraph">
                        <wp:posOffset>10795</wp:posOffset>
                      </wp:positionV>
                      <wp:extent cx="536575" cy="186690"/>
                      <wp:effectExtent l="635" t="635" r="29845" b="10795"/>
                      <wp:wrapNone/>
                      <wp:docPr id="1142" name="角丸四角形 3"/>
                      <a:graphic xmlns:a="http://schemas.openxmlformats.org/drawingml/2006/main">
                        <a:graphicData uri="http://schemas.microsoft.com/office/word/2010/wordprocessingShape">
                          <wps:wsp>
                            <wps:cNvPr id="1142" name="角丸四角形 3"/>
                            <wps:cNvSpPr/>
                            <wps:spPr>
                              <a:xfrm>
                                <a:off x="0" y="0"/>
                                <a:ext cx="536575" cy="186690"/>
                              </a:xfrm>
                              <a:prstGeom prst="roundRect">
                                <a:avLst/>
                              </a:prstGeom>
                              <a:solidFill>
                                <a:schemeClr val="accent5"/>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要介護２</w:t>
                                  </w:r>
                                </w:p>
                              </w:txbxContent>
                            </wps:txbx>
                            <wps:bodyPr vertOverflow="clip" horzOverflow="clip" wrap="square" rtlCol="0" anchor="t"/>
                          </wps:wsp>
                        </a:graphicData>
                      </a:graphic>
                    </wp:anchor>
                  </w:drawing>
                </mc:Choice>
                <mc:Fallback>
                  <w:pict>
                    <v:roundrect id="角丸四角形 3" style="mso-wrap-distance-right:9pt;mso-wrap-distance-bottom:0pt;margin-top:0.85pt;mso-position-vertical-relative:text;mso-position-horizontal-relative:text;v-text-anchor:top;position:absolute;height:14.7pt;mso-wrap-distance-top:0pt;width:42.25pt;mso-wrap-distance-left:9pt;margin-left:103.3pt;z-index:79;" o:spid="_x0000_s1142" o:allowincell="t" o:allowoverlap="t" filled="t" fillcolor="#5b9bd5 [3208]"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kern w:val="0"/>
                                <w:sz w:val="10"/>
                              </w:rPr>
                            </w:pPr>
                            <w:r>
                              <w:rPr>
                                <w:rFonts w:hint="eastAsia" w:ascii="ＭＳ ゴシック" w:hAnsi="ＭＳ ゴシック" w:eastAsia="ＭＳ ゴシック"/>
                                <w:b w:val="1"/>
                                <w:color w:val="000000" w:themeColor="dark1"/>
                                <w:sz w:val="12"/>
                              </w:rPr>
                              <w:t>要介護２</w:t>
                            </w:r>
                          </w:p>
                        </w:txbxContent>
                      </v:textbox>
                      <v:imagedata o:title=""/>
                      <w10:wrap type="none" anchorx="text" anchory="text"/>
                    </v:roundrect>
                  </w:pict>
                </mc:Fallback>
              </mc:AlternateContent>
            </w:r>
          </w:p>
        </w:tc>
        <w:tc>
          <w:tcPr>
            <w:tcW w:w="846"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要介護２</w:t>
            </w:r>
          </w:p>
        </w:tc>
        <w:tc>
          <w:tcPr>
            <w:tcW w:w="8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926</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w:t>
            </w:r>
            <w:r>
              <w:rPr>
                <w:rFonts w:hint="eastAsia" w:ascii="ＭＳ ゴシック" w:hAnsi="ＭＳ ゴシック" w:eastAsia="ＭＳ ゴシック"/>
                <w:sz w:val="14"/>
              </w:rPr>
              <w:t>7</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nil"/>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0" behindDoc="0" locked="0" layoutInCell="1" hidden="0" allowOverlap="1">
                      <wp:simplePos x="0" y="0"/>
                      <wp:positionH relativeFrom="column">
                        <wp:posOffset>1525270</wp:posOffset>
                      </wp:positionH>
                      <wp:positionV relativeFrom="paragraph">
                        <wp:posOffset>10160</wp:posOffset>
                      </wp:positionV>
                      <wp:extent cx="536575" cy="186690"/>
                      <wp:effectExtent l="635" t="635" r="29845" b="10795"/>
                      <wp:wrapNone/>
                      <wp:docPr id="1143" name="角丸四角形 3"/>
                      <a:graphic xmlns:a="http://schemas.openxmlformats.org/drawingml/2006/main">
                        <a:graphicData uri="http://schemas.microsoft.com/office/word/2010/wordprocessingShape">
                          <wps:wsp>
                            <wps:cNvPr id="1143" name="角丸四角形 3"/>
                            <wps:cNvSpPr/>
                            <wps:spPr>
                              <a:xfrm>
                                <a:off x="0" y="0"/>
                                <a:ext cx="536575" cy="186690"/>
                              </a:xfrm>
                              <a:prstGeom prst="roundRect">
                                <a:avLst/>
                              </a:prstGeom>
                              <a:solidFill>
                                <a:schemeClr val="accent5">
                                  <a:lumMod val="75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要介護３</w:t>
                                  </w:r>
                                </w:p>
                              </w:txbxContent>
                            </wps:txbx>
                            <wps:bodyPr vertOverflow="clip" horzOverflow="clip" wrap="square" rtlCol="0" anchor="t"/>
                          </wps:wsp>
                        </a:graphicData>
                      </a:graphic>
                    </wp:anchor>
                  </w:drawing>
                </mc:Choice>
                <mc:Fallback>
                  <w:pict>
                    <v:roundrect id="角丸四角形 3" style="mso-wrap-distance-right:9pt;mso-wrap-distance-bottom:0pt;margin-top:0.8pt;mso-position-vertical-relative:text;mso-position-horizontal-relative:text;v-text-anchor:top;position:absolute;height:14.7pt;mso-wrap-distance-top:0pt;width:42.25pt;mso-wrap-distance-left:9pt;margin-left:120.1pt;z-index:80;" o:spid="_x0000_s1143" o:allowincell="t" o:allowoverlap="t" filled="t" fillcolor="#2f75b5 [2408]"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要介護３</w:t>
                            </w:r>
                          </w:p>
                        </w:txbxContent>
                      </v:textbox>
                      <v:imagedata o:title=""/>
                      <w10:wrap type="none" anchorx="text" anchory="text"/>
                    </v:roundrect>
                  </w:pict>
                </mc:Fallback>
              </mc:AlternateContent>
            </w:r>
          </w:p>
        </w:tc>
        <w:tc>
          <w:tcPr>
            <w:tcW w:w="846"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要介護３</w:t>
            </w:r>
          </w:p>
        </w:tc>
        <w:tc>
          <w:tcPr>
            <w:tcW w:w="8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738</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2</w:t>
            </w:r>
            <w:r>
              <w:rPr>
                <w:rFonts w:hint="default" w:ascii="ＭＳ ゴシック" w:hAnsi="ＭＳ ゴシック" w:eastAsia="ＭＳ ゴシック"/>
                <w:sz w:val="14"/>
              </w:rPr>
              <w:t>.</w:t>
            </w:r>
            <w:r>
              <w:rPr>
                <w:rFonts w:hint="eastAsia" w:ascii="ＭＳ ゴシック" w:hAnsi="ＭＳ ゴシック" w:eastAsia="ＭＳ ゴシック"/>
                <w:sz w:val="14"/>
              </w:rPr>
              <w:t>1</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nil"/>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6" behindDoc="0" locked="0" layoutInCell="1" hidden="0" allowOverlap="1">
                      <wp:simplePos x="0" y="0"/>
                      <wp:positionH relativeFrom="column">
                        <wp:posOffset>1261745</wp:posOffset>
                      </wp:positionH>
                      <wp:positionV relativeFrom="paragraph">
                        <wp:posOffset>202565</wp:posOffset>
                      </wp:positionV>
                      <wp:extent cx="386715" cy="358775"/>
                      <wp:effectExtent l="0" t="0" r="635" b="635"/>
                      <wp:wrapNone/>
                      <wp:docPr id="1144" name="テキスト ボックス 15"/>
                      <a:graphic xmlns:a="http://schemas.openxmlformats.org/drawingml/2006/main">
                        <a:graphicData uri="http://schemas.microsoft.com/office/word/2010/wordprocessingShape">
                          <wps:wsp>
                            <wps:cNvPr id="1144" name="テキスト ボックス 15"/>
                            <wps:cNvSpPr txBox="1"/>
                            <wps:spPr>
                              <a:xfrm>
                                <a:off x="0" y="0"/>
                                <a:ext cx="386715"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ascii="ＭＳ ゴシック" w:hAnsi="ＭＳ ゴシック" w:eastAsia="ＭＳ ゴシック"/>
                                      <w:kern w:val="0"/>
                                      <w:sz w:val="10"/>
                                    </w:rPr>
                                  </w:pPr>
                                  <w:r>
                                    <w:rPr>
                                      <w:rFonts w:hint="eastAsia" w:ascii="ＭＳ ゴシック" w:hAnsi="ＭＳ ゴシック" w:eastAsia="ＭＳ ゴシック"/>
                                      <w:color w:val="000000" w:themeColor="dark1"/>
                                      <w:sz w:val="21"/>
                                    </w:rPr>
                                    <w:t>Ａ</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15.95pt;mso-position-vertical-relative:text;mso-position-horizontal-relative:text;v-text-anchor:top;position:absolute;height:28.25pt;mso-wrap-distance-top:0pt;width:30.45pt;mso-wrap-distance-left:9pt;margin-left:99.35pt;z-index:86;" o:spid="_x0000_s1144" o:allowincell="t" o:allowoverlap="t" filled="f" stroked="f" strokeweight="0.75pt" o:spt="202" type="#_x0000_t202">
                      <v:fill/>
                      <v:stroke linestyle="single"/>
                      <v:textbox style="layout-flow:horizontal;">
                        <w:txbxContent>
                          <w:p>
                            <w:pPr>
                              <w:pStyle w:val="0"/>
                              <w:jc w:val="center"/>
                              <w:rPr>
                                <w:rFonts w:hint="default" w:ascii="ＭＳ ゴシック" w:hAnsi="ＭＳ ゴシック" w:eastAsia="ＭＳ ゴシック"/>
                                <w:kern w:val="0"/>
                                <w:sz w:val="10"/>
                              </w:rPr>
                            </w:pPr>
                            <w:r>
                              <w:rPr>
                                <w:rFonts w:hint="eastAsia" w:ascii="ＭＳ ゴシック" w:hAnsi="ＭＳ ゴシック" w:eastAsia="ＭＳ ゴシック"/>
                                <w:color w:val="000000" w:themeColor="dark1"/>
                                <w:sz w:val="21"/>
                              </w:rPr>
                              <w:t>Ａ</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1" behindDoc="0" locked="0" layoutInCell="1" hidden="0" allowOverlap="1">
                      <wp:simplePos x="0" y="0"/>
                      <wp:positionH relativeFrom="column">
                        <wp:posOffset>1736090</wp:posOffset>
                      </wp:positionH>
                      <wp:positionV relativeFrom="paragraph">
                        <wp:posOffset>635</wp:posOffset>
                      </wp:positionV>
                      <wp:extent cx="536575" cy="189865"/>
                      <wp:effectExtent l="635" t="635" r="29845" b="10795"/>
                      <wp:wrapNone/>
                      <wp:docPr id="1145" name="角丸四角形 3"/>
                      <a:graphic xmlns:a="http://schemas.openxmlformats.org/drawingml/2006/main">
                        <a:graphicData uri="http://schemas.microsoft.com/office/word/2010/wordprocessingShape">
                          <wps:wsp>
                            <wps:cNvPr id="1145" name="角丸四角形 3"/>
                            <wps:cNvSpPr/>
                            <wps:spPr>
                              <a:xfrm>
                                <a:off x="0" y="0"/>
                                <a:ext cx="536575" cy="189865"/>
                              </a:xfrm>
                              <a:prstGeom prst="roundRect">
                                <a:avLst/>
                              </a:prstGeom>
                              <a:solidFill>
                                <a:schemeClr val="accent5">
                                  <a:lumMod val="50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要介護４</w:t>
                                  </w:r>
                                </w:p>
                              </w:txbxContent>
                            </wps:txbx>
                            <wps:bodyPr vertOverflow="clip" horzOverflow="clip" wrap="square" rtlCol="0" anchor="t"/>
                          </wps:wsp>
                        </a:graphicData>
                      </a:graphic>
                    </wp:anchor>
                  </w:drawing>
                </mc:Choice>
                <mc:Fallback>
                  <w:pict>
                    <v:roundrect id="角丸四角形 3" style="mso-wrap-distance-right:9pt;mso-wrap-distance-bottom:0pt;margin-top:5.e-002pt;mso-position-vertical-relative:text;mso-position-horizontal-relative:text;v-text-anchor:top;position:absolute;height:14.95pt;mso-wrap-distance-top:0pt;width:42.25pt;mso-wrap-distance-left:9pt;margin-left:136.69pt;z-index:81;" o:spid="_x0000_s1145" o:allowincell="t" o:allowoverlap="t" filled="t" fillcolor="#1f4f7a [1608]"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要介護４</w:t>
                            </w:r>
                          </w:p>
                        </w:txbxContent>
                      </v:textbox>
                      <v:imagedata o:title=""/>
                      <w10:wrap type="none" anchorx="text" anchory="text"/>
                    </v:roundrect>
                  </w:pict>
                </mc:Fallback>
              </mc:AlternateContent>
            </w:r>
          </w:p>
        </w:tc>
        <w:tc>
          <w:tcPr>
            <w:tcW w:w="846" w:type="dxa"/>
            <w:tcBorders>
              <w:top w:val="dotted" w:color="auto" w:sz="4" w:space="0"/>
              <w:left w:val="none" w:color="auto" w:sz="0" w:space="0"/>
              <w:bottom w:val="dotted"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要介護４</w:t>
            </w:r>
          </w:p>
        </w:tc>
        <w:tc>
          <w:tcPr>
            <w:tcW w:w="848"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641</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.9</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nil"/>
              <w:left w:val="nil"/>
              <w:bottom w:val="dotted" w:color="auto" w:sz="4" w:space="0"/>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88" behindDoc="0" locked="0" layoutInCell="1" hidden="0" allowOverlap="1">
                      <wp:simplePos x="0" y="0"/>
                      <wp:positionH relativeFrom="column">
                        <wp:posOffset>304165</wp:posOffset>
                      </wp:positionH>
                      <wp:positionV relativeFrom="paragraph">
                        <wp:posOffset>31750</wp:posOffset>
                      </wp:positionV>
                      <wp:extent cx="778510" cy="327025"/>
                      <wp:effectExtent l="635" t="135255" r="107950" b="10795"/>
                      <wp:wrapNone/>
                      <wp:docPr id="1146" name="四角形吹き出し 20"/>
                      <a:graphic xmlns:a="http://schemas.openxmlformats.org/drawingml/2006/main">
                        <a:graphicData uri="http://schemas.microsoft.com/office/word/2010/wordprocessingShape">
                          <wps:wsp>
                            <wps:cNvPr id="1146" name="四角形吹き出し 20"/>
                            <wps:cNvSpPr/>
                            <wps:spPr>
                              <a:xfrm>
                                <a:off x="0" y="0"/>
                                <a:ext cx="778510" cy="327025"/>
                              </a:xfrm>
                              <a:prstGeom prst="wedgeRectCallout">
                                <a:avLst>
                                  <a:gd name="adj1" fmla="val 59779"/>
                                  <a:gd name="adj2" fmla="val -91003"/>
                                </a:avLst>
                              </a:prstGeom>
                              <a:ln>
                                <a:solidFill>
                                  <a:schemeClr val="bg2">
                                    <a:lumMod val="25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0" w:leftChars="-59" w:right="-108" w:rightChars="-45" w:hanging="142" w:hangingChars="118"/>
                                    <w:jc w:val="center"/>
                                    <w:rPr>
                                      <w:rFonts w:hint="default" w:ascii="ＭＳ ゴシック" w:hAnsi="ＭＳ ゴシック" w:eastAsia="ＭＳ ゴシック"/>
                                      <w:color w:val="000000"/>
                                      <w:sz w:val="12"/>
                                    </w:rPr>
                                  </w:pPr>
                                  <w:r>
                                    <w:rPr>
                                      <w:rFonts w:hint="eastAsia" w:ascii="ＭＳ ゴシック" w:hAnsi="ＭＳ ゴシック" w:eastAsia="ＭＳ ゴシック"/>
                                      <w:color w:val="000000"/>
                                      <w:sz w:val="12"/>
                                    </w:rPr>
                                    <w:t>生活機能低下の</w:t>
                                  </w:r>
                                </w:p>
                                <w:p>
                                  <w:pPr>
                                    <w:pStyle w:val="0"/>
                                    <w:spacing w:line="120" w:lineRule="exact"/>
                                    <w:ind w:left="0" w:leftChars="-59" w:right="-108" w:rightChars="-45" w:hanging="142" w:hangingChars="118"/>
                                    <w:jc w:val="center"/>
                                    <w:rPr>
                                      <w:rFonts w:hint="default" w:ascii="ＭＳ ゴシック" w:hAnsi="ＭＳ ゴシック" w:eastAsia="ＭＳ ゴシック"/>
                                      <w:color w:val="000000"/>
                                      <w:sz w:val="12"/>
                                    </w:rPr>
                                  </w:pPr>
                                  <w:r>
                                    <w:rPr>
                                      <w:rFonts w:hint="eastAsia" w:ascii="ＭＳ ゴシック" w:hAnsi="ＭＳ ゴシック" w:eastAsia="ＭＳ ゴシック"/>
                                      <w:color w:val="000000"/>
                                      <w:sz w:val="12"/>
                                    </w:rPr>
                                    <w:t>傾向矢印Ａ</w:t>
                                  </w:r>
                                </w:p>
                                <w:p>
                                  <w:pPr>
                                    <w:pStyle w:val="0"/>
                                    <w:spacing w:line="120" w:lineRule="exact"/>
                                    <w:ind w:left="0" w:leftChars="-59" w:right="-108" w:rightChars="-45" w:hanging="142" w:hangingChars="118"/>
                                    <w:jc w:val="center"/>
                                    <w:rPr>
                                      <w:rFonts w:hint="default" w:ascii="ＭＳ ゴシック" w:hAnsi="ＭＳ ゴシック" w:eastAsia="ＭＳ ゴシック"/>
                                      <w:sz w:val="12"/>
                                    </w:rPr>
                                  </w:pPr>
                                  <w:r>
                                    <w:rPr>
                                      <w:rFonts w:hint="eastAsia" w:ascii="ＭＳ ゴシック" w:hAnsi="ＭＳ ゴシック" w:eastAsia="ＭＳ ゴシック"/>
                                      <w:color w:val="000000"/>
                                      <w:sz w:val="12"/>
                                    </w:rPr>
                                    <w:t>（介護予防「弱」）</w:t>
                                  </w:r>
                                </w:p>
                              </w:txbxContent>
                            </wps:txbx>
                            <wps:bodyPr vertOverflow="clip" horzOverflow="clip" wrap="square" rtlCol="0"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style="mso-wrap-distance-right:9pt;mso-wrap-distance-bottom:0pt;margin-top:2.5pt;mso-position-vertical-relative:text;mso-position-horizontal-relative:text;v-text-anchor:middle;position:absolute;height:25.75pt;mso-wrap-distance-top:0pt;width:61.3pt;mso-wrap-distance-left:9pt;margin-left:23.95pt;z-index:88;" o:spid="_x0000_s1146" o:allowincell="t" o:allowoverlap="t" filled="t" fillcolor="#ffffff [3201]" stroked="t" strokecolor="#3a3838 [814]" strokeweight="1pt" o:spt="61" type="#_x0000_t61" adj="23712,-8857">
                      <v:fill/>
                      <v:stroke linestyle="single" miterlimit="8" endcap="flat" dashstyle="solid" filltype="solid"/>
                      <v:textbox style="layout-flow:horizontal;">
                        <w:txbxContent>
                          <w:p>
                            <w:pPr>
                              <w:pStyle w:val="0"/>
                              <w:spacing w:line="120" w:lineRule="exact"/>
                              <w:ind w:left="0" w:leftChars="-59" w:right="-108" w:rightChars="-45" w:hanging="142" w:hangingChars="118"/>
                              <w:jc w:val="center"/>
                              <w:rPr>
                                <w:rFonts w:hint="default" w:ascii="ＭＳ ゴシック" w:hAnsi="ＭＳ ゴシック" w:eastAsia="ＭＳ ゴシック"/>
                                <w:color w:val="000000"/>
                                <w:sz w:val="12"/>
                              </w:rPr>
                            </w:pPr>
                            <w:r>
                              <w:rPr>
                                <w:rFonts w:hint="eastAsia" w:ascii="ＭＳ ゴシック" w:hAnsi="ＭＳ ゴシック" w:eastAsia="ＭＳ ゴシック"/>
                                <w:color w:val="000000"/>
                                <w:sz w:val="12"/>
                              </w:rPr>
                              <w:t>生活機能低下の</w:t>
                            </w:r>
                          </w:p>
                          <w:p>
                            <w:pPr>
                              <w:pStyle w:val="0"/>
                              <w:spacing w:line="120" w:lineRule="exact"/>
                              <w:ind w:left="0" w:leftChars="-59" w:right="-108" w:rightChars="-45" w:hanging="142" w:hangingChars="118"/>
                              <w:jc w:val="center"/>
                              <w:rPr>
                                <w:rFonts w:hint="default" w:ascii="ＭＳ ゴシック" w:hAnsi="ＭＳ ゴシック" w:eastAsia="ＭＳ ゴシック"/>
                                <w:color w:val="000000"/>
                                <w:sz w:val="12"/>
                              </w:rPr>
                            </w:pPr>
                            <w:r>
                              <w:rPr>
                                <w:rFonts w:hint="eastAsia" w:ascii="ＭＳ ゴシック" w:hAnsi="ＭＳ ゴシック" w:eastAsia="ＭＳ ゴシック"/>
                                <w:color w:val="000000"/>
                                <w:sz w:val="12"/>
                              </w:rPr>
                              <w:t>傾向矢印Ａ</w:t>
                            </w:r>
                          </w:p>
                          <w:p>
                            <w:pPr>
                              <w:pStyle w:val="0"/>
                              <w:spacing w:line="120" w:lineRule="exact"/>
                              <w:ind w:left="0" w:leftChars="-59" w:right="-108" w:rightChars="-45" w:hanging="142" w:hangingChars="118"/>
                              <w:jc w:val="center"/>
                              <w:rPr>
                                <w:rFonts w:hint="default" w:ascii="ＭＳ ゴシック" w:hAnsi="ＭＳ ゴシック" w:eastAsia="ＭＳ ゴシック"/>
                                <w:sz w:val="12"/>
                              </w:rPr>
                            </w:pPr>
                            <w:r>
                              <w:rPr>
                                <w:rFonts w:hint="eastAsia" w:ascii="ＭＳ ゴシック" w:hAnsi="ＭＳ ゴシック" w:eastAsia="ＭＳ ゴシック"/>
                                <w:color w:val="000000"/>
                                <w:sz w:val="12"/>
                              </w:rPr>
                              <w:t>（介護予防「弱」）</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92" behindDoc="0" locked="0" layoutInCell="1" hidden="0" allowOverlap="1">
                      <wp:simplePos x="0" y="0"/>
                      <wp:positionH relativeFrom="column">
                        <wp:posOffset>776605</wp:posOffset>
                      </wp:positionH>
                      <wp:positionV relativeFrom="paragraph">
                        <wp:posOffset>195580</wp:posOffset>
                      </wp:positionV>
                      <wp:extent cx="1419225" cy="655955"/>
                      <wp:effectExtent l="0" t="0" r="635" b="635"/>
                      <wp:wrapNone/>
                      <wp:docPr id="1147" name="右矢印 12"/>
                      <a:graphic xmlns:a="http://schemas.openxmlformats.org/drawingml/2006/main">
                        <a:graphicData uri="http://schemas.microsoft.com/office/word/2010/wordprocessingShape">
                          <wps:wsp>
                            <wps:cNvPr id="1147" name="右矢印 12"/>
                            <wps:cNvSpPr/>
                            <wps:spPr>
                              <a:xfrm>
                                <a:off x="0" y="0"/>
                                <a:ext cx="1419225" cy="655955"/>
                              </a:xfrm>
                              <a:prstGeom prst="rightArrow">
                                <a:avLst>
                                  <a:gd name="adj1" fmla="val 50000"/>
                                  <a:gd name="adj2" fmla="val 22492"/>
                                </a:avLst>
                              </a:prstGeom>
                              <a:noFill/>
                              <a:ln w="19050">
                                <a:noFill/>
                              </a:ln>
                            </wps:spPr>
                            <wps:style>
                              <a:lnRef idx="2">
                                <a:schemeClr val="accent6"/>
                              </a:lnRef>
                              <a:fillRef idx="1">
                                <a:schemeClr val="lt1"/>
                              </a:fillRef>
                              <a:effectRef idx="0">
                                <a:schemeClr val="accent6"/>
                              </a:effectRef>
                              <a:fontRef idx="minor">
                                <a:schemeClr val="dk1"/>
                              </a:fontRef>
                            </wps:style>
                            <wps:txbx>
                              <w:txbxContent>
                                <w:p>
                                  <w:pPr>
                                    <w:pStyle w:val="0"/>
                                    <w:jc w:val="center"/>
                                    <w:rPr>
                                      <w:rFonts w:hint="default" w:ascii="ＭＳ ゴシック" w:hAnsi="ＭＳ ゴシック" w:eastAsia="ＭＳ ゴシック"/>
                                      <w:kern w:val="0"/>
                                      <w:sz w:val="14"/>
                                    </w:rPr>
                                  </w:pPr>
                                  <w:r>
                                    <w:rPr>
                                      <w:rFonts w:hint="eastAsia" w:ascii="ＭＳ ゴシック" w:hAnsi="ＭＳ ゴシック" w:eastAsia="ＭＳ ゴシック"/>
                                      <w:b w:val="1"/>
                                      <w:color w:val="0F0F0F" w:themeColor="text1" w:themeTint="F2"/>
                                      <w:sz w:val="16"/>
                                    </w:rPr>
                                    <w:t>時間の経過</w:t>
                                  </w:r>
                                </w:p>
                              </w:txbxContent>
                            </wps:txbx>
                            <wps:bodyPr vertOverflow="clip" horzOverflow="clip" wrap="square"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style="mso-wrap-distance-right:9pt;mso-wrap-distance-bottom:0pt;margin-top:15.4pt;mso-position-vertical-relative:text;mso-position-horizontal-relative:text;v-text-anchor:middle;position:absolute;height:51.65pt;mso-wrap-distance-top:0pt;width:111.75pt;mso-wrap-distance-left:9pt;margin-left:61.15pt;z-index:92;" o:spid="_x0000_s1147" o:allowincell="t" o:allowoverlap="t" filled="f" stroked="f" strokecolor="#70ad47 [3209]" strokeweight="1.5pt" o:spt="13" type="#_x0000_t13" adj="16742,5400">
                      <v:fill/>
                      <v:stroke linestyle="single" miterlimit="8" endcap="flat" dashstyle="solid"/>
                      <v:textbox style="layout-flow:horizontal;">
                        <w:txbxContent>
                          <w:p>
                            <w:pPr>
                              <w:pStyle w:val="0"/>
                              <w:jc w:val="center"/>
                              <w:rPr>
                                <w:rFonts w:hint="default" w:ascii="ＭＳ ゴシック" w:hAnsi="ＭＳ ゴシック" w:eastAsia="ＭＳ ゴシック"/>
                                <w:kern w:val="0"/>
                                <w:sz w:val="14"/>
                              </w:rPr>
                            </w:pPr>
                            <w:r>
                              <w:rPr>
                                <w:rFonts w:hint="eastAsia" w:ascii="ＭＳ ゴシック" w:hAnsi="ＭＳ ゴシック" w:eastAsia="ＭＳ ゴシック"/>
                                <w:b w:val="1"/>
                                <w:color w:val="0F0F0F" w:themeColor="text1" w:themeTint="F2"/>
                                <w:sz w:val="16"/>
                              </w:rPr>
                              <w:t>時間の経過</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82" behindDoc="0" locked="0" layoutInCell="1" hidden="0" allowOverlap="1">
                      <wp:simplePos x="0" y="0"/>
                      <wp:positionH relativeFrom="column">
                        <wp:posOffset>1969135</wp:posOffset>
                      </wp:positionH>
                      <wp:positionV relativeFrom="paragraph">
                        <wp:posOffset>3175</wp:posOffset>
                      </wp:positionV>
                      <wp:extent cx="536575" cy="179705"/>
                      <wp:effectExtent l="635" t="635" r="29845" b="10795"/>
                      <wp:wrapNone/>
                      <wp:docPr id="1148" name="角丸四角形 3"/>
                      <a:graphic xmlns:a="http://schemas.openxmlformats.org/drawingml/2006/main">
                        <a:graphicData uri="http://schemas.microsoft.com/office/word/2010/wordprocessingShape">
                          <wps:wsp>
                            <wps:cNvPr id="1148" name="角丸四角形 3"/>
                            <wps:cNvSpPr/>
                            <wps:spPr>
                              <a:xfrm>
                                <a:off x="0" y="0"/>
                                <a:ext cx="536575" cy="179705"/>
                              </a:xfrm>
                              <a:prstGeom prst="roundRect">
                                <a:avLst/>
                              </a:prstGeom>
                              <a:solidFill>
                                <a:schemeClr val="tx2">
                                  <a:lumMod val="50000"/>
                                </a:schemeClr>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要介護５</w:t>
                                  </w:r>
                                </w:p>
                              </w:txbxContent>
                            </wps:txbx>
                            <wps:bodyPr vertOverflow="clip" horzOverflow="clip" wrap="square" rtlCol="0" anchor="t"/>
                          </wps:wsp>
                        </a:graphicData>
                      </a:graphic>
                    </wp:anchor>
                  </w:drawing>
                </mc:Choice>
                <mc:Fallback>
                  <w:pict>
                    <v:roundrect id="角丸四角形 3" style="mso-wrap-distance-right:9pt;mso-wrap-distance-bottom:0pt;margin-top:0.25pt;mso-position-vertical-relative:text;mso-position-horizontal-relative:text;v-text-anchor:top;position:absolute;height:14.15pt;mso-wrap-distance-top:0pt;width:42.25pt;mso-wrap-distance-left:9pt;margin-left:155.05000000000001pt;z-index:82;" o:spid="_x0000_s1148" o:allowincell="t" o:allowoverlap="t" filled="t" fillcolor="#222b35 [1615]"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要介護５</w:t>
                            </w:r>
                          </w:p>
                        </w:txbxContent>
                      </v:textbox>
                      <v:imagedata o:title=""/>
                      <w10:wrap type="none" anchorx="text" anchory="text"/>
                    </v:roundrect>
                  </w:pict>
                </mc:Fallback>
              </mc:AlternateContent>
            </w:r>
          </w:p>
        </w:tc>
        <w:tc>
          <w:tcPr>
            <w:tcW w:w="846" w:type="dxa"/>
            <w:tcBorders>
              <w:top w:val="dotted"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要介護５</w:t>
            </w:r>
          </w:p>
        </w:tc>
        <w:tc>
          <w:tcPr>
            <w:tcW w:w="848"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531</w:t>
            </w:r>
            <w:r>
              <w:rPr>
                <w:rFonts w:hint="eastAsia" w:ascii="ＭＳ ゴシック" w:hAnsi="ＭＳ ゴシック" w:eastAsia="ＭＳ ゴシック"/>
                <w:sz w:val="14"/>
              </w:rPr>
              <w:t>人</w:t>
            </w:r>
          </w:p>
        </w:tc>
        <w:tc>
          <w:tcPr>
            <w:tcW w:w="711"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w:t>
            </w:r>
            <w:r>
              <w:rPr>
                <w:rFonts w:hint="eastAsia" w:ascii="ＭＳ ゴシック" w:hAnsi="ＭＳ ゴシック" w:eastAsia="ＭＳ ゴシック"/>
                <w:sz w:val="14"/>
              </w:rPr>
              <w:t>5</w:t>
            </w:r>
            <w:r>
              <w:rPr>
                <w:rFonts w:hint="eastAsia" w:ascii="ＭＳ ゴシック" w:hAnsi="ＭＳ ゴシック" w:eastAsia="ＭＳ ゴシック"/>
                <w:sz w:val="14"/>
              </w:rPr>
              <w:t>％</w:t>
            </w:r>
          </w:p>
        </w:tc>
        <w:tc>
          <w:tcPr>
            <w:tcW w:w="844"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15"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p>
        </w:tc>
        <w:tc>
          <w:tcPr>
            <w:tcW w:w="782" w:type="dxa"/>
            <w:vMerge w:val="continue"/>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c>
          <w:tcPr>
            <w:tcW w:w="636" w:type="dxa"/>
            <w:vMerge w:val="continue"/>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rPr>
                <w:rFonts w:hint="default" w:ascii="ＭＳ ゴシック" w:hAnsi="ＭＳ ゴシック" w:eastAsia="ＭＳ ゴシック"/>
                <w:sz w:val="14"/>
              </w:rPr>
            </w:pPr>
          </w:p>
        </w:tc>
      </w:tr>
      <w:tr>
        <w:trPr>
          <w:trHeight w:val="283" w:hRule="atLeast"/>
        </w:trPr>
        <w:tc>
          <w:tcPr>
            <w:tcW w:w="4536" w:type="dxa"/>
            <w:tcBorders>
              <w:top w:val="dotted" w:color="auto" w:sz="4" w:space="0"/>
              <w:left w:val="nil"/>
              <w:bottom w:val="nil"/>
              <w:right w:val="none" w:color="auto" w:sz="0" w:space="0"/>
              <w:tl2br w:val="none" w:color="auto" w:sz="0" w:space="0"/>
              <w:tr2bl w:val="none" w:color="auto" w:sz="0" w:space="0"/>
            </w:tcBorders>
            <w:vAlign w:val="top"/>
          </w:tcPr>
          <w:p>
            <w:pPr>
              <w:pStyle w:val="0"/>
              <w:rPr>
                <w:rFonts w:hint="default"/>
              </w:rPr>
            </w:pPr>
            <w:r>
              <w:rPr>
                <w:rFonts w:hint="default"/>
              </w:rPr>
              <mc:AlternateContent>
                <mc:Choice Requires="wps">
                  <w:drawing>
                    <wp:anchor distT="0" distB="0" distL="114300" distR="114300" simplePos="0" relativeHeight="90" behindDoc="0" locked="0" layoutInCell="1" hidden="0" allowOverlap="1">
                      <wp:simplePos x="0" y="0"/>
                      <wp:positionH relativeFrom="column">
                        <wp:posOffset>198755</wp:posOffset>
                      </wp:positionH>
                      <wp:positionV relativeFrom="paragraph">
                        <wp:posOffset>89535</wp:posOffset>
                      </wp:positionV>
                      <wp:extent cx="2545080" cy="395605"/>
                      <wp:effectExtent l="635" t="1270" r="29845" b="11430"/>
                      <wp:wrapNone/>
                      <wp:docPr id="1149" name="右矢印 12"/>
                      <a:graphic xmlns:a="http://schemas.openxmlformats.org/drawingml/2006/main">
                        <a:graphicData uri="http://schemas.microsoft.com/office/word/2010/wordprocessingShape">
                          <wps:wsp>
                            <wps:cNvPr id="1149" name="右矢印 12"/>
                            <wps:cNvSpPr/>
                            <wps:spPr>
                              <a:xfrm>
                                <a:off x="0" y="0"/>
                                <a:ext cx="2545080" cy="395605"/>
                              </a:xfrm>
                              <a:prstGeom prst="rightArrow">
                                <a:avLst/>
                              </a:prstGeom>
                              <a:solidFill>
                                <a:schemeClr val="bg1">
                                  <a:lumMod val="95000"/>
                                </a:schemeClr>
                              </a:solidFill>
                              <a:ln w="19050">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jc w:val="center"/>
                                    <w:rPr>
                                      <w:rFonts w:hint="default" w:ascii="ＭＳ ゴシック" w:hAnsi="ＭＳ ゴシック" w:eastAsia="ＭＳ ゴシック"/>
                                      <w:kern w:val="0"/>
                                      <w:sz w:val="14"/>
                                    </w:rPr>
                                  </w:pPr>
                                </w:p>
                              </w:txbxContent>
                            </wps:txbx>
                            <wps:bodyPr vertOverflow="clip" horzOverflow="clip" wrap="square"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style="mso-wrap-distance-right:9pt;mso-wrap-distance-bottom:0pt;margin-top:7.05pt;mso-position-vertical-relative:text;mso-position-horizontal-relative:text;v-text-anchor:middle;position:absolute;height:31.15pt;mso-wrap-distance-top:0pt;width:200.4pt;mso-wrap-distance-left:9pt;margin-left:15.65pt;z-index:90;" o:spid="_x0000_s1149" o:allowincell="t" o:allowoverlap="t" filled="t" fillcolor="#f2f2f2 [3052]" stroked="t" strokecolor="#0d0d0d [3069]" strokeweight="1.5pt" o:spt="13" type="#_x0000_t13" adj="10800,5400">
                      <v:fill/>
                      <v:stroke linestyle="single" miterlimit="8" endcap="flat" dashstyle="solid" filltype="solid"/>
                      <v:textbox style="layout-flow:horizontal;">
                        <w:txbxContent>
                          <w:p>
                            <w:pPr>
                              <w:pStyle w:val="0"/>
                              <w:spacing w:line="120" w:lineRule="exact"/>
                              <w:jc w:val="center"/>
                              <w:rPr>
                                <w:rFonts w:hint="default" w:ascii="ＭＳ ゴシック" w:hAnsi="ＭＳ ゴシック" w:eastAsia="ＭＳ ゴシック"/>
                                <w:kern w:val="0"/>
                                <w:sz w:val="14"/>
                              </w:rPr>
                            </w:pPr>
                          </w:p>
                        </w:txbxContent>
                      </v:textbox>
                      <v:imagedata o:title=""/>
                      <w10:wrap type="none" anchorx="text" anchory="text"/>
                    </v:shape>
                  </w:pict>
                </mc:Fallback>
              </mc:AlternateContent>
            </w:r>
          </w:p>
        </w:tc>
        <w:tc>
          <w:tcPr>
            <w:tcW w:w="846" w:type="dxa"/>
            <w:shd w:val="clear" w:color="auto" w:themeFill="background1" w:themeFillTint="FF" w:themeFillShade="D9"/>
            <w:vAlign w:val="top"/>
          </w:tcPr>
          <w:p>
            <w:pPr>
              <w:pStyle w:val="0"/>
              <w:jc w:val="center"/>
              <w:rPr>
                <w:rFonts w:hint="default" w:ascii="ＭＳ ゴシック" w:hAnsi="ＭＳ ゴシック" w:eastAsia="ＭＳ ゴシック"/>
                <w:sz w:val="14"/>
              </w:rPr>
            </w:pPr>
            <w:r>
              <w:rPr>
                <w:rFonts w:hint="eastAsia" w:ascii="ＭＳ ゴシック" w:hAnsi="ＭＳ ゴシック" w:eastAsia="ＭＳ ゴシック"/>
                <w:sz w:val="14"/>
              </w:rPr>
              <w:t>合計</w:t>
            </w:r>
          </w:p>
        </w:tc>
        <w:tc>
          <w:tcPr>
            <w:tcW w:w="848" w:type="dxa"/>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4,850</w:t>
            </w:r>
            <w:r>
              <w:rPr>
                <w:rFonts w:hint="eastAsia" w:ascii="ＭＳ ゴシック" w:hAnsi="ＭＳ ゴシック" w:eastAsia="ＭＳ ゴシック"/>
                <w:sz w:val="14"/>
              </w:rPr>
              <w:t>人</w:t>
            </w:r>
          </w:p>
        </w:tc>
        <w:tc>
          <w:tcPr>
            <w:tcW w:w="711" w:type="dxa"/>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00.0</w:t>
            </w:r>
            <w:r>
              <w:rPr>
                <w:rFonts w:hint="eastAsia" w:ascii="ＭＳ ゴシック" w:hAnsi="ＭＳ ゴシック" w:eastAsia="ＭＳ ゴシック"/>
                <w:sz w:val="14"/>
              </w:rPr>
              <w:t>％</w:t>
            </w:r>
          </w:p>
        </w:tc>
        <w:tc>
          <w:tcPr>
            <w:tcW w:w="844" w:type="dxa"/>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ind w:left="-1" w:leftChars="-85" w:hanging="203" w:hangingChars="145"/>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4,850</w:t>
            </w:r>
            <w:r>
              <w:rPr>
                <w:rFonts w:hint="eastAsia" w:ascii="ＭＳ ゴシック" w:hAnsi="ＭＳ ゴシック" w:eastAsia="ＭＳ ゴシック"/>
                <w:sz w:val="14"/>
              </w:rPr>
              <w:t>人</w:t>
            </w:r>
          </w:p>
        </w:tc>
        <w:tc>
          <w:tcPr>
            <w:tcW w:w="715" w:type="dxa"/>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00.0</w:t>
            </w:r>
            <w:r>
              <w:rPr>
                <w:rFonts w:hint="eastAsia" w:ascii="ＭＳ ゴシック" w:hAnsi="ＭＳ ゴシック" w:eastAsia="ＭＳ ゴシック"/>
                <w:sz w:val="14"/>
              </w:rPr>
              <w:t>％</w:t>
            </w:r>
          </w:p>
        </w:tc>
        <w:tc>
          <w:tcPr>
            <w:tcW w:w="782" w:type="dxa"/>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ind w:left="0" w:leftChars="-83" w:hanging="199" w:hangingChars="142"/>
              <w:jc w:val="right"/>
              <w:rPr>
                <w:rFonts w:hint="default" w:ascii="ＭＳ ゴシック" w:hAnsi="ＭＳ ゴシック" w:eastAsia="ＭＳ ゴシック"/>
                <w:sz w:val="14"/>
              </w:rPr>
            </w:pPr>
            <w:r>
              <w:rPr>
                <w:rFonts w:hint="eastAsia" w:ascii="ＭＳ ゴシック" w:hAnsi="ＭＳ ゴシック" w:eastAsia="ＭＳ ゴシック"/>
                <w:sz w:val="14"/>
              </w:rPr>
              <w:t>3</w:t>
            </w:r>
            <w:r>
              <w:rPr>
                <w:rFonts w:hint="default" w:ascii="ＭＳ ゴシック" w:hAnsi="ＭＳ ゴシック" w:eastAsia="ＭＳ ゴシック"/>
                <w:sz w:val="14"/>
              </w:rPr>
              <w:t>4,850</w:t>
            </w:r>
            <w:r>
              <w:rPr>
                <w:rFonts w:hint="eastAsia" w:ascii="ＭＳ ゴシック" w:hAnsi="ＭＳ ゴシック" w:eastAsia="ＭＳ ゴシック"/>
                <w:sz w:val="14"/>
              </w:rPr>
              <w:t>人</w:t>
            </w:r>
          </w:p>
        </w:tc>
        <w:tc>
          <w:tcPr>
            <w:tcW w:w="636" w:type="dxa"/>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ind w:left="1" w:leftChars="-103" w:hanging="248" w:hangingChars="177"/>
              <w:jc w:val="right"/>
              <w:rPr>
                <w:rFonts w:hint="default" w:ascii="ＭＳ ゴシック" w:hAnsi="ＭＳ ゴシック" w:eastAsia="ＭＳ ゴシック"/>
                <w:sz w:val="14"/>
              </w:rPr>
            </w:pPr>
            <w:r>
              <w:rPr>
                <w:rFonts w:hint="eastAsia" w:ascii="ＭＳ ゴシック" w:hAnsi="ＭＳ ゴシック" w:eastAsia="ＭＳ ゴシック"/>
                <w:sz w:val="14"/>
              </w:rPr>
              <w:t>1</w:t>
            </w:r>
            <w:r>
              <w:rPr>
                <w:rFonts w:hint="default" w:ascii="ＭＳ ゴシック" w:hAnsi="ＭＳ ゴシック" w:eastAsia="ＭＳ ゴシック"/>
                <w:sz w:val="14"/>
              </w:rPr>
              <w:t>00.0</w:t>
            </w:r>
            <w:r>
              <w:rPr>
                <w:rFonts w:hint="eastAsia" w:ascii="ＭＳ ゴシック" w:hAnsi="ＭＳ ゴシック" w:eastAsia="ＭＳ ゴシック"/>
                <w:sz w:val="14"/>
              </w:rPr>
              <w:t>％</w:t>
            </w:r>
          </w:p>
        </w:tc>
      </w:tr>
    </w:tbl>
    <w:p>
      <w:pPr>
        <w:pStyle w:val="0"/>
        <w:rPr>
          <w:rFonts w:hint="default"/>
        </w:rPr>
      </w:pPr>
    </w:p>
    <w:p>
      <w:pPr>
        <w:pStyle w:val="0"/>
        <w:rPr>
          <w:rFonts w:hint="default"/>
        </w:rPr>
      </w:pPr>
      <w:r>
        <w:rPr>
          <w:rFonts w:hint="default"/>
        </w:rPr>
        <mc:AlternateContent>
          <mc:Choice Requires="wps">
            <w:drawing>
              <wp:anchor distT="0" distB="0" distL="114300" distR="114300" simplePos="0" relativeHeight="94" behindDoc="0" locked="0" layoutInCell="1" hidden="0" allowOverlap="1">
                <wp:simplePos x="0" y="0"/>
                <wp:positionH relativeFrom="column">
                  <wp:posOffset>-31750</wp:posOffset>
                </wp:positionH>
                <wp:positionV relativeFrom="paragraph">
                  <wp:posOffset>424180</wp:posOffset>
                </wp:positionV>
                <wp:extent cx="422910" cy="3206115"/>
                <wp:effectExtent l="1270" t="635" r="30480" b="10795"/>
                <wp:wrapNone/>
                <wp:docPr id="1150" name="上下矢印 19"/>
                <a:graphic xmlns:a="http://schemas.openxmlformats.org/drawingml/2006/main">
                  <a:graphicData uri="http://schemas.microsoft.com/office/word/2010/wordprocessingShape">
                    <wps:wsp>
                      <wps:cNvPr id="1150" name="上下矢印 19"/>
                      <wps:cNvSpPr/>
                      <wps:spPr>
                        <a:xfrm>
                          <a:off x="0" y="0"/>
                          <a:ext cx="422910" cy="3206115"/>
                        </a:xfrm>
                        <a:prstGeom prst="upDownArrow">
                          <a:avLst/>
                        </a:prstGeom>
                        <a:solidFill>
                          <a:schemeClr val="accent5">
                            <a:lumMod val="50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ゴシック" w:hAnsi="ＭＳ ゴシック" w:eastAsia="ＭＳ ゴシック"/>
                                <w:sz w:val="14"/>
                                <w:shd w:val="clear" w:color="auto" w:themeFill="accent5" w:themeFillTint="FF" w:themeFillShade="80"/>
                              </w:rPr>
                            </w:pPr>
                          </w:p>
                        </w:txbxContent>
                      </wps:txbx>
                      <wps:bodyPr vertOverflow="clip" horzOverflow="clip" wrap="square" rtlCol="0" anchor="ct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style="mso-wrap-distance-right:9pt;mso-wrap-distance-bottom:0pt;margin-top:33.4pt;mso-position-vertical-relative:text;mso-position-horizontal-relative:text;v-text-anchor:middle;position:absolute;height:252.45pt;mso-wrap-distance-top:0pt;width:33.29pt;mso-wrap-distance-left:9pt;margin-left:-2.5pt;z-index:94;" o:spid="_x0000_s1150" o:allowincell="t" o:allowoverlap="t" filled="t" fillcolor="#1f4f7a [1608]" stroked="t" strokecolor="#0d0d0d [3069]" strokeweight="0.75pt" o:spt="70" type="#_x0000_t70" adj="5400,10800">
                <v:fill/>
                <v:stroke linestyle="single" miterlimit="8" endcap="flat" dashstyle="solid" filltype="solid"/>
                <v:textbox style="layout-flow:horizontal;">
                  <w:txbxContent>
                    <w:p>
                      <w:pPr>
                        <w:pStyle w:val="0"/>
                        <w:spacing w:line="240" w:lineRule="exact"/>
                        <w:jc w:val="center"/>
                        <w:rPr>
                          <w:rFonts w:hint="default" w:ascii="ＭＳ ゴシック" w:hAnsi="ＭＳ ゴシック" w:eastAsia="ＭＳ ゴシック"/>
                          <w:sz w:val="14"/>
                          <w:shd w:val="clear" w:color="auto" w:themeFill="accent5" w:themeFillTint="FF" w:themeFillShade="80"/>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04" behindDoc="0" locked="0" layoutInCell="1" hidden="0" allowOverlap="1">
                <wp:simplePos x="0" y="0"/>
                <wp:positionH relativeFrom="column">
                  <wp:posOffset>311785</wp:posOffset>
                </wp:positionH>
                <wp:positionV relativeFrom="paragraph">
                  <wp:posOffset>2886075</wp:posOffset>
                </wp:positionV>
                <wp:extent cx="3133725" cy="1216025"/>
                <wp:effectExtent l="635" t="635" r="635" b="635"/>
                <wp:wrapNone/>
                <wp:docPr id="1151" name="角丸四角形 3"/>
                <a:graphic xmlns:a="http://schemas.openxmlformats.org/drawingml/2006/main">
                  <a:graphicData uri="http://schemas.microsoft.com/office/word/2010/wordprocessingShape">
                    <wps:wsp>
                      <wps:cNvPr id="1151" name="角丸四角形 3"/>
                      <wps:cNvSpPr/>
                      <wps:spPr>
                        <a:xfrm>
                          <a:off x="0" y="0"/>
                          <a:ext cx="3133725" cy="121602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元気高齢者</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2</w:t>
                            </w:r>
                            <w:r>
                              <w:rPr>
                                <w:rFonts w:hint="default" w:ascii="ＭＳ ゴシック" w:hAnsi="ＭＳ ゴシック" w:eastAsia="ＭＳ ゴシック"/>
                                <w:b w:val="1"/>
                                <w:color w:val="000000" w:themeColor="dark1"/>
                                <w:sz w:val="16"/>
                              </w:rPr>
                              <w:t>2,267</w:t>
                            </w:r>
                            <w:r>
                              <w:rPr>
                                <w:rFonts w:hint="eastAsia" w:ascii="ＭＳ ゴシック" w:hAnsi="ＭＳ ゴシック" w:eastAsia="ＭＳ ゴシック"/>
                                <w:b w:val="1"/>
                                <w:color w:val="000000" w:themeColor="dark1"/>
                                <w:sz w:val="16"/>
                              </w:rPr>
                              <w:t>人</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63.9</w:t>
                            </w:r>
                            <w:r>
                              <w:rPr>
                                <w:rFonts w:hint="eastAsia" w:ascii="ＭＳ ゴシック" w:hAnsi="ＭＳ ゴシック" w:eastAsia="ＭＳ ゴシック"/>
                                <w:b w:val="1"/>
                                <w:color w:val="000000" w:themeColor="dark1"/>
                                <w:sz w:val="16"/>
                              </w:rPr>
                              <w:t>％）</w:t>
                            </w:r>
                          </w:p>
                          <w:p>
                            <w:pPr>
                              <w:pStyle w:val="0"/>
                              <w:spacing w:line="200" w:lineRule="exact"/>
                              <w:ind w:right="-163" w:rightChars="-68"/>
                              <w:jc w:val="center"/>
                              <w:rPr>
                                <w:rFonts w:hint="default" w:ascii="ＭＳ ゴシック" w:hAnsi="ＭＳ ゴシック" w:eastAsia="ＭＳ ゴシック"/>
                                <w:b w:val="1"/>
                                <w:color w:val="000000" w:themeColor="dark1"/>
                                <w:sz w:val="16"/>
                              </w:rPr>
                            </w:pPr>
                          </w:p>
                          <w:p>
                            <w:pPr>
                              <w:pStyle w:val="0"/>
                              <w:spacing w:line="280" w:lineRule="exact"/>
                              <w:ind w:right="-163" w:rightChars="-68"/>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（注）平成</w:t>
                            </w:r>
                            <w:r>
                              <w:rPr>
                                <w:rFonts w:hint="eastAsia" w:ascii="ＭＳ ゴシック" w:hAnsi="ＭＳ ゴシック" w:eastAsia="ＭＳ ゴシック"/>
                                <w:kern w:val="0"/>
                                <w:sz w:val="16"/>
                              </w:rPr>
                              <w:t>26</w:t>
                            </w:r>
                            <w:r>
                              <w:rPr>
                                <w:rFonts w:hint="eastAsia" w:ascii="ＭＳ ゴシック" w:hAnsi="ＭＳ ゴシック" w:eastAsia="ＭＳ ゴシック"/>
                                <w:kern w:val="0"/>
                                <w:sz w:val="16"/>
                              </w:rPr>
                              <w:t>年度元気高齢者集計結果の割合を参考に推計</w:t>
                            </w:r>
                          </w:p>
                          <w:p>
                            <w:pPr>
                              <w:pStyle w:val="0"/>
                              <w:spacing w:line="280" w:lineRule="exact"/>
                              <w:ind w:right="-163" w:rightChars="-68"/>
                              <w:jc w:val="center"/>
                              <w:rPr>
                                <w:rFonts w:hint="default" w:ascii="ＭＳ ゴシック" w:hAnsi="ＭＳ ゴシック" w:eastAsia="ＭＳ ゴシック"/>
                                <w:b w:val="1"/>
                                <w:kern w:val="0"/>
                                <w:sz w:val="16"/>
                              </w:rPr>
                            </w:pPr>
                            <w:r>
                              <w:rPr>
                                <w:rFonts w:hint="eastAsia" w:ascii="ＭＳ ゴシック" w:hAnsi="ＭＳ ゴシック" w:eastAsia="ＭＳ ゴシック"/>
                                <w:b w:val="1"/>
                                <w:kern w:val="0"/>
                                <w:sz w:val="16"/>
                              </w:rPr>
                              <w:t>第１号被保険者数　</w:t>
                            </w:r>
                            <w:r>
                              <w:rPr>
                                <w:rFonts w:hint="eastAsia" w:ascii="ＭＳ ゴシック" w:hAnsi="ＭＳ ゴシック" w:eastAsia="ＭＳ ゴシック"/>
                                <w:b w:val="1"/>
                                <w:kern w:val="0"/>
                                <w:sz w:val="16"/>
                              </w:rPr>
                              <w:t>3</w:t>
                            </w:r>
                            <w:r>
                              <w:rPr>
                                <w:rFonts w:hint="default" w:ascii="ＭＳ ゴシック" w:hAnsi="ＭＳ ゴシック" w:eastAsia="ＭＳ ゴシック"/>
                                <w:b w:val="1"/>
                                <w:kern w:val="0"/>
                                <w:sz w:val="16"/>
                              </w:rPr>
                              <w:t>4,850</w:t>
                            </w:r>
                            <w:r>
                              <w:rPr>
                                <w:rFonts w:hint="eastAsia" w:ascii="ＭＳ ゴシック" w:hAnsi="ＭＳ ゴシック" w:eastAsia="ＭＳ ゴシック"/>
                                <w:b w:val="1"/>
                                <w:kern w:val="0"/>
                                <w:sz w:val="16"/>
                              </w:rPr>
                              <w:t>人（</w:t>
                            </w:r>
                            <w:r>
                              <w:rPr>
                                <w:rFonts w:hint="default" w:ascii="ＭＳ ゴシック" w:hAnsi="ＭＳ ゴシック" w:eastAsia="ＭＳ ゴシック"/>
                                <w:b w:val="1"/>
                                <w:kern w:val="0"/>
                                <w:sz w:val="16"/>
                              </w:rPr>
                              <w:t xml:space="preserve"> </w:t>
                            </w:r>
                            <w:r>
                              <w:rPr>
                                <w:rFonts w:hint="eastAsia" w:ascii="ＭＳ ゴシック" w:hAnsi="ＭＳ ゴシック" w:eastAsia="ＭＳ ゴシック"/>
                                <w:b w:val="1"/>
                                <w:kern w:val="0"/>
                                <w:sz w:val="16"/>
                              </w:rPr>
                              <w:t>令和２年</w:t>
                            </w:r>
                            <w:r>
                              <w:rPr>
                                <w:rFonts w:hint="default" w:ascii="ＭＳ ゴシック" w:hAnsi="ＭＳ ゴシック" w:eastAsia="ＭＳ ゴシック"/>
                                <w:b w:val="1"/>
                                <w:kern w:val="0"/>
                                <w:sz w:val="16"/>
                              </w:rPr>
                              <w:t>(</w:t>
                            </w:r>
                            <w:r>
                              <w:rPr>
                                <w:rFonts w:hint="eastAsia" w:ascii="ＭＳ ゴシック" w:hAnsi="ＭＳ ゴシック" w:eastAsia="ＭＳ ゴシック"/>
                                <w:b w:val="1"/>
                                <w:kern w:val="0"/>
                                <w:sz w:val="16"/>
                              </w:rPr>
                              <w:t>2</w:t>
                            </w:r>
                            <w:r>
                              <w:rPr>
                                <w:rFonts w:hint="default" w:ascii="ＭＳ ゴシック" w:hAnsi="ＭＳ ゴシック" w:eastAsia="ＭＳ ゴシック"/>
                                <w:b w:val="1"/>
                                <w:kern w:val="0"/>
                                <w:sz w:val="16"/>
                              </w:rPr>
                              <w:t>020</w:t>
                            </w:r>
                            <w:r>
                              <w:rPr>
                                <w:rFonts w:hint="eastAsia" w:ascii="ＭＳ ゴシック" w:hAnsi="ＭＳ ゴシック" w:eastAsia="ＭＳ ゴシック"/>
                                <w:b w:val="1"/>
                                <w:kern w:val="0"/>
                                <w:sz w:val="16"/>
                              </w:rPr>
                              <w:t>年</w:t>
                            </w:r>
                            <w:r>
                              <w:rPr>
                                <w:rFonts w:hint="eastAsia" w:ascii="ＭＳ ゴシック" w:hAnsi="ＭＳ ゴシック" w:eastAsia="ＭＳ ゴシック"/>
                                <w:b w:val="1"/>
                                <w:kern w:val="0"/>
                                <w:sz w:val="16"/>
                              </w:rPr>
                              <w:t>)</w:t>
                            </w:r>
                            <w:r>
                              <w:rPr>
                                <w:rFonts w:hint="eastAsia" w:ascii="ＭＳ ゴシック" w:hAnsi="ＭＳ ゴシック" w:eastAsia="ＭＳ ゴシック"/>
                                <w:b w:val="1"/>
                                <w:kern w:val="0"/>
                                <w:sz w:val="16"/>
                              </w:rPr>
                              <w:t>３月末）</w:t>
                            </w:r>
                          </w:p>
                        </w:txbxContent>
                      </wps:txbx>
                      <wps:bodyPr vertOverflow="clip" horzOverflow="clip" wrap="square" rtlCol="0" anchor="t"/>
                    </wps:wsp>
                  </a:graphicData>
                </a:graphic>
              </wp:anchor>
            </w:drawing>
          </mc:Choice>
          <mc:Fallback>
            <w:pict>
              <v:roundrect id="角丸四角形 3" style="mso-wrap-distance-right:9pt;mso-wrap-distance-bottom:0pt;margin-top:227.25pt;mso-position-vertical-relative:text;mso-position-horizontal-relative:text;v-text-anchor:top;position:absolute;height:95.75pt;mso-wrap-distance-top:0pt;width:246.75pt;mso-wrap-distance-left:9pt;margin-left:24.55pt;z-index:104;" o:spid="_x0000_s1151"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元気高齢者</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2</w:t>
                      </w:r>
                      <w:r>
                        <w:rPr>
                          <w:rFonts w:hint="default" w:ascii="ＭＳ ゴシック" w:hAnsi="ＭＳ ゴシック" w:eastAsia="ＭＳ ゴシック"/>
                          <w:b w:val="1"/>
                          <w:color w:val="000000" w:themeColor="dark1"/>
                          <w:sz w:val="16"/>
                        </w:rPr>
                        <w:t>2,267</w:t>
                      </w:r>
                      <w:r>
                        <w:rPr>
                          <w:rFonts w:hint="eastAsia" w:ascii="ＭＳ ゴシック" w:hAnsi="ＭＳ ゴシック" w:eastAsia="ＭＳ ゴシック"/>
                          <w:b w:val="1"/>
                          <w:color w:val="000000" w:themeColor="dark1"/>
                          <w:sz w:val="16"/>
                        </w:rPr>
                        <w:t>人</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63.9</w:t>
                      </w:r>
                      <w:r>
                        <w:rPr>
                          <w:rFonts w:hint="eastAsia" w:ascii="ＭＳ ゴシック" w:hAnsi="ＭＳ ゴシック" w:eastAsia="ＭＳ ゴシック"/>
                          <w:b w:val="1"/>
                          <w:color w:val="000000" w:themeColor="dark1"/>
                          <w:sz w:val="16"/>
                        </w:rPr>
                        <w:t>％）</w:t>
                      </w:r>
                    </w:p>
                    <w:p>
                      <w:pPr>
                        <w:pStyle w:val="0"/>
                        <w:spacing w:line="200" w:lineRule="exact"/>
                        <w:ind w:right="-163" w:rightChars="-68"/>
                        <w:jc w:val="center"/>
                        <w:rPr>
                          <w:rFonts w:hint="default" w:ascii="ＭＳ ゴシック" w:hAnsi="ＭＳ ゴシック" w:eastAsia="ＭＳ ゴシック"/>
                          <w:b w:val="1"/>
                          <w:color w:val="000000" w:themeColor="dark1"/>
                          <w:sz w:val="16"/>
                        </w:rPr>
                      </w:pPr>
                    </w:p>
                    <w:p>
                      <w:pPr>
                        <w:pStyle w:val="0"/>
                        <w:spacing w:line="280" w:lineRule="exact"/>
                        <w:ind w:right="-163" w:rightChars="-68"/>
                        <w:jc w:val="center"/>
                        <w:rPr>
                          <w:rFonts w:hint="default" w:ascii="ＭＳ ゴシック" w:hAnsi="ＭＳ ゴシック" w:eastAsia="ＭＳ ゴシック"/>
                          <w:kern w:val="0"/>
                          <w:sz w:val="16"/>
                        </w:rPr>
                      </w:pPr>
                      <w:r>
                        <w:rPr>
                          <w:rFonts w:hint="eastAsia" w:ascii="ＭＳ ゴシック" w:hAnsi="ＭＳ ゴシック" w:eastAsia="ＭＳ ゴシック"/>
                          <w:kern w:val="0"/>
                          <w:sz w:val="16"/>
                        </w:rPr>
                        <w:t>（注）平成</w:t>
                      </w:r>
                      <w:r>
                        <w:rPr>
                          <w:rFonts w:hint="eastAsia" w:ascii="ＭＳ ゴシック" w:hAnsi="ＭＳ ゴシック" w:eastAsia="ＭＳ ゴシック"/>
                          <w:kern w:val="0"/>
                          <w:sz w:val="16"/>
                        </w:rPr>
                        <w:t>26</w:t>
                      </w:r>
                      <w:r>
                        <w:rPr>
                          <w:rFonts w:hint="eastAsia" w:ascii="ＭＳ ゴシック" w:hAnsi="ＭＳ ゴシック" w:eastAsia="ＭＳ ゴシック"/>
                          <w:kern w:val="0"/>
                          <w:sz w:val="16"/>
                        </w:rPr>
                        <w:t>年度元気高齢者集計結果の割合を参考に推計</w:t>
                      </w:r>
                    </w:p>
                    <w:p>
                      <w:pPr>
                        <w:pStyle w:val="0"/>
                        <w:spacing w:line="280" w:lineRule="exact"/>
                        <w:ind w:right="-163" w:rightChars="-68"/>
                        <w:jc w:val="center"/>
                        <w:rPr>
                          <w:rFonts w:hint="default" w:ascii="ＭＳ ゴシック" w:hAnsi="ＭＳ ゴシック" w:eastAsia="ＭＳ ゴシック"/>
                          <w:b w:val="1"/>
                          <w:kern w:val="0"/>
                          <w:sz w:val="16"/>
                        </w:rPr>
                      </w:pPr>
                      <w:r>
                        <w:rPr>
                          <w:rFonts w:hint="eastAsia" w:ascii="ＭＳ ゴシック" w:hAnsi="ＭＳ ゴシック" w:eastAsia="ＭＳ ゴシック"/>
                          <w:b w:val="1"/>
                          <w:kern w:val="0"/>
                          <w:sz w:val="16"/>
                        </w:rPr>
                        <w:t>第１号被保険者数　</w:t>
                      </w:r>
                      <w:r>
                        <w:rPr>
                          <w:rFonts w:hint="eastAsia" w:ascii="ＭＳ ゴシック" w:hAnsi="ＭＳ ゴシック" w:eastAsia="ＭＳ ゴシック"/>
                          <w:b w:val="1"/>
                          <w:kern w:val="0"/>
                          <w:sz w:val="16"/>
                        </w:rPr>
                        <w:t>3</w:t>
                      </w:r>
                      <w:r>
                        <w:rPr>
                          <w:rFonts w:hint="default" w:ascii="ＭＳ ゴシック" w:hAnsi="ＭＳ ゴシック" w:eastAsia="ＭＳ ゴシック"/>
                          <w:b w:val="1"/>
                          <w:kern w:val="0"/>
                          <w:sz w:val="16"/>
                        </w:rPr>
                        <w:t>4,850</w:t>
                      </w:r>
                      <w:r>
                        <w:rPr>
                          <w:rFonts w:hint="eastAsia" w:ascii="ＭＳ ゴシック" w:hAnsi="ＭＳ ゴシック" w:eastAsia="ＭＳ ゴシック"/>
                          <w:b w:val="1"/>
                          <w:kern w:val="0"/>
                          <w:sz w:val="16"/>
                        </w:rPr>
                        <w:t>人（</w:t>
                      </w:r>
                      <w:r>
                        <w:rPr>
                          <w:rFonts w:hint="default" w:ascii="ＭＳ ゴシック" w:hAnsi="ＭＳ ゴシック" w:eastAsia="ＭＳ ゴシック"/>
                          <w:b w:val="1"/>
                          <w:kern w:val="0"/>
                          <w:sz w:val="16"/>
                        </w:rPr>
                        <w:t xml:space="preserve"> </w:t>
                      </w:r>
                      <w:r>
                        <w:rPr>
                          <w:rFonts w:hint="eastAsia" w:ascii="ＭＳ ゴシック" w:hAnsi="ＭＳ ゴシック" w:eastAsia="ＭＳ ゴシック"/>
                          <w:b w:val="1"/>
                          <w:kern w:val="0"/>
                          <w:sz w:val="16"/>
                        </w:rPr>
                        <w:t>令和２年</w:t>
                      </w:r>
                      <w:r>
                        <w:rPr>
                          <w:rFonts w:hint="default" w:ascii="ＭＳ ゴシック" w:hAnsi="ＭＳ ゴシック" w:eastAsia="ＭＳ ゴシック"/>
                          <w:b w:val="1"/>
                          <w:kern w:val="0"/>
                          <w:sz w:val="16"/>
                        </w:rPr>
                        <w:t>(</w:t>
                      </w:r>
                      <w:r>
                        <w:rPr>
                          <w:rFonts w:hint="eastAsia" w:ascii="ＭＳ ゴシック" w:hAnsi="ＭＳ ゴシック" w:eastAsia="ＭＳ ゴシック"/>
                          <w:b w:val="1"/>
                          <w:kern w:val="0"/>
                          <w:sz w:val="16"/>
                        </w:rPr>
                        <w:t>2</w:t>
                      </w:r>
                      <w:r>
                        <w:rPr>
                          <w:rFonts w:hint="default" w:ascii="ＭＳ ゴシック" w:hAnsi="ＭＳ ゴシック" w:eastAsia="ＭＳ ゴシック"/>
                          <w:b w:val="1"/>
                          <w:kern w:val="0"/>
                          <w:sz w:val="16"/>
                        </w:rPr>
                        <w:t>020</w:t>
                      </w:r>
                      <w:r>
                        <w:rPr>
                          <w:rFonts w:hint="eastAsia" w:ascii="ＭＳ ゴシック" w:hAnsi="ＭＳ ゴシック" w:eastAsia="ＭＳ ゴシック"/>
                          <w:b w:val="1"/>
                          <w:kern w:val="0"/>
                          <w:sz w:val="16"/>
                        </w:rPr>
                        <w:t>年</w:t>
                      </w:r>
                      <w:r>
                        <w:rPr>
                          <w:rFonts w:hint="eastAsia" w:ascii="ＭＳ ゴシック" w:hAnsi="ＭＳ ゴシック" w:eastAsia="ＭＳ ゴシック"/>
                          <w:b w:val="1"/>
                          <w:kern w:val="0"/>
                          <w:sz w:val="16"/>
                        </w:rPr>
                        <w:t>)</w:t>
                      </w:r>
                      <w:r>
                        <w:rPr>
                          <w:rFonts w:hint="eastAsia" w:ascii="ＭＳ ゴシック" w:hAnsi="ＭＳ ゴシック" w:eastAsia="ＭＳ ゴシック"/>
                          <w:b w:val="1"/>
                          <w:kern w:val="0"/>
                          <w:sz w:val="16"/>
                        </w:rPr>
                        <w:t>３月末）</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03" behindDoc="0" locked="0" layoutInCell="1" hidden="0" allowOverlap="1">
                <wp:simplePos x="0" y="0"/>
                <wp:positionH relativeFrom="column">
                  <wp:posOffset>1442085</wp:posOffset>
                </wp:positionH>
                <wp:positionV relativeFrom="paragraph">
                  <wp:posOffset>2915285</wp:posOffset>
                </wp:positionV>
                <wp:extent cx="971550" cy="417195"/>
                <wp:effectExtent l="635" t="635" r="29845" b="10795"/>
                <wp:wrapNone/>
                <wp:docPr id="1152" name="角丸四角形 3"/>
                <a:graphic xmlns:a="http://schemas.openxmlformats.org/drawingml/2006/main">
                  <a:graphicData uri="http://schemas.microsoft.com/office/word/2010/wordprocessingShape">
                    <wps:wsp>
                      <wps:cNvPr id="1152" name="角丸四角形 3"/>
                      <wps:cNvSpPr/>
                      <wps:spPr>
                        <a:xfrm>
                          <a:off x="0" y="0"/>
                          <a:ext cx="971550" cy="417195"/>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wps:txbx>
                      <wps:bodyPr vertOverflow="clip" horzOverflow="clip" wrap="square" rtlCol="0" anchor="t"/>
                    </wps:wsp>
                  </a:graphicData>
                </a:graphic>
              </wp:anchor>
            </w:drawing>
          </mc:Choice>
          <mc:Fallback>
            <w:pict>
              <v:roundrect id="角丸四角形 3" style="mso-wrap-distance-right:9pt;mso-wrap-distance-bottom:0pt;margin-top:229.55pt;mso-position-vertical-relative:text;mso-position-horizontal-relative:text;v-text-anchor:top;position:absolute;height:32.85pt;mso-wrap-distance-top:0pt;width:76.5pt;mso-wrap-distance-left:9pt;margin-left:113.55pt;z-index:103;" o:spid="_x0000_s1152" o:allowincell="t" o:allowoverlap="t" filled="t" fillcolor="#ffffff [3212]" stroked="t" strokecolor="#000000 [3213]" strokeweight="0.5pt" o:spt="2" arcsize="10923f">
                <v:fill/>
                <v:stroke linestyle="single" miterlimit="8" endcap="flat" dashstyle="solid" filltype="solid"/>
                <v:textbox style="layout-flow:horizontal;">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02" behindDoc="0" locked="0" layoutInCell="1" hidden="0" allowOverlap="1">
                <wp:simplePos x="0" y="0"/>
                <wp:positionH relativeFrom="column">
                  <wp:posOffset>849630</wp:posOffset>
                </wp:positionH>
                <wp:positionV relativeFrom="paragraph">
                  <wp:posOffset>2055495</wp:posOffset>
                </wp:positionV>
                <wp:extent cx="2108200" cy="965835"/>
                <wp:effectExtent l="635" t="635" r="635" b="635"/>
                <wp:wrapNone/>
                <wp:docPr id="1153" name="角丸四角形 3"/>
                <a:graphic xmlns:a="http://schemas.openxmlformats.org/drawingml/2006/main">
                  <a:graphicData uri="http://schemas.microsoft.com/office/word/2010/wordprocessingShape">
                    <wps:wsp>
                      <wps:cNvPr id="1153" name="角丸四角形 3"/>
                      <wps:cNvSpPr/>
                      <wps:spPr>
                        <a:xfrm>
                          <a:off x="0" y="0"/>
                          <a:ext cx="2108200" cy="96583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right="-163" w:rightChars="-68"/>
                              <w:jc w:val="both"/>
                              <w:rPr>
                                <w:rFonts w:hint="default" w:ascii="ＭＳ ゴシック" w:hAnsi="ＭＳ ゴシック" w:eastAsia="ＭＳ ゴシック"/>
                                <w:b w:val="1"/>
                                <w:color w:val="000000" w:themeColor="dark1"/>
                                <w:sz w:val="16"/>
                              </w:rPr>
                            </w:pP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虚弱高齢者</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（要介護認定・</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事業対象者非該当）</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default" w:ascii="ＭＳ ゴシック" w:hAnsi="ＭＳ ゴシック" w:eastAsia="ＭＳ ゴシック"/>
                                <w:b w:val="1"/>
                                <w:color w:val="000000" w:themeColor="dark1"/>
                                <w:sz w:val="16"/>
                              </w:rPr>
                              <w:t>6,</w:t>
                            </w:r>
                            <w:r>
                              <w:rPr>
                                <w:rFonts w:hint="eastAsia" w:ascii="ＭＳ ゴシック" w:hAnsi="ＭＳ ゴシック" w:eastAsia="ＭＳ ゴシック"/>
                                <w:b w:val="1"/>
                                <w:color w:val="000000" w:themeColor="dark1"/>
                                <w:sz w:val="16"/>
                              </w:rPr>
                              <w:t>804</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w:t>
                            </w:r>
                            <w:r>
                              <w:rPr>
                                <w:rFonts w:hint="default" w:ascii="ＭＳ ゴシック" w:hAnsi="ＭＳ ゴシック" w:eastAsia="ＭＳ ゴシック"/>
                                <w:b w:val="1"/>
                                <w:color w:val="000000" w:themeColor="dark1"/>
                                <w:sz w:val="16"/>
                              </w:rPr>
                              <w:t>19.</w:t>
                            </w:r>
                            <w:r>
                              <w:rPr>
                                <w:rFonts w:hint="eastAsia" w:ascii="ＭＳ ゴシック" w:hAnsi="ＭＳ ゴシック" w:eastAsia="ＭＳ ゴシック"/>
                                <w:b w:val="1"/>
                                <w:color w:val="000000" w:themeColor="dark1"/>
                                <w:sz w:val="16"/>
                              </w:rPr>
                              <w:t>5</w:t>
                            </w:r>
                            <w:r>
                              <w:rPr>
                                <w:rFonts w:hint="eastAsia" w:ascii="ＭＳ ゴシック" w:hAnsi="ＭＳ ゴシック" w:eastAsia="ＭＳ ゴシック"/>
                                <w:b w:val="1"/>
                                <w:color w:val="000000" w:themeColor="dark1"/>
                                <w:sz w:val="16"/>
                              </w:rPr>
                              <w:t>％</w:t>
                            </w:r>
                            <w:r>
                              <w:rPr>
                                <w:rFonts w:hint="default" w:ascii="ＭＳ ゴシック" w:hAnsi="ＭＳ ゴシック" w:eastAsia="ＭＳ ゴシック"/>
                                <w:b w:val="1"/>
                                <w:color w:val="000000" w:themeColor="dark1"/>
                                <w:sz w:val="16"/>
                              </w:rPr>
                              <w:t>)</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p>
                          <w:p>
                            <w:pPr>
                              <w:pStyle w:val="0"/>
                              <w:spacing w:line="200" w:lineRule="exact"/>
                              <w:ind w:right="-163" w:rightChars="-68"/>
                              <w:jc w:val="center"/>
                              <w:rPr>
                                <w:rFonts w:hint="default" w:ascii="ＭＳ ゴシック" w:hAnsi="ＭＳ ゴシック" w:eastAsia="ＭＳ ゴシック"/>
                                <w:b w:val="1"/>
                                <w:kern w:val="0"/>
                                <w:sz w:val="14"/>
                              </w:rPr>
                            </w:pPr>
                          </w:p>
                        </w:txbxContent>
                      </wps:txbx>
                      <wps:bodyPr vertOverflow="clip" horzOverflow="clip" wrap="square" rtlCol="0" anchor="t"/>
                    </wps:wsp>
                  </a:graphicData>
                </a:graphic>
              </wp:anchor>
            </w:drawing>
          </mc:Choice>
          <mc:Fallback>
            <w:pict>
              <v:roundrect id="角丸四角形 3" style="mso-wrap-distance-right:9pt;mso-wrap-distance-bottom:0pt;margin-top:161.85pt;mso-position-vertical-relative:text;mso-position-horizontal-relative:text;v-text-anchor:top;position:absolute;height:76.05pt;mso-wrap-distance-top:0pt;width:166pt;mso-wrap-distance-left:9pt;margin-left:66.900000000000006pt;z-index:102;" o:spid="_x0000_s1153" o:allowincell="t" o:allowoverlap="t" filled="f" stroked="f" strokecolor="#70ad47 [3209]" strokeweight="0.5pt" o:spt="2" arcsize="10923f">
                <v:fill/>
                <v:stroke linestyle="single" miterlimit="8" endcap="flat" dashstyle="solid"/>
                <v:textbox style="layout-flow:horizontal;">
                  <w:txbxContent>
                    <w:p>
                      <w:pPr>
                        <w:pStyle w:val="0"/>
                        <w:spacing w:line="200" w:lineRule="exact"/>
                        <w:ind w:right="-163" w:rightChars="-68"/>
                        <w:jc w:val="both"/>
                        <w:rPr>
                          <w:rFonts w:hint="default" w:ascii="ＭＳ ゴシック" w:hAnsi="ＭＳ ゴシック" w:eastAsia="ＭＳ ゴシック"/>
                          <w:b w:val="1"/>
                          <w:color w:val="000000" w:themeColor="dark1"/>
                          <w:sz w:val="16"/>
                        </w:rPr>
                      </w:pP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虚弱高齢者</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（要介護認定・</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事業対象者非該当）</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r>
                        <w:rPr>
                          <w:rFonts w:hint="default" w:ascii="ＭＳ ゴシック" w:hAnsi="ＭＳ ゴシック" w:eastAsia="ＭＳ ゴシック"/>
                          <w:b w:val="1"/>
                          <w:color w:val="000000" w:themeColor="dark1"/>
                          <w:sz w:val="16"/>
                        </w:rPr>
                        <w:t>6,</w:t>
                      </w:r>
                      <w:r>
                        <w:rPr>
                          <w:rFonts w:hint="eastAsia" w:ascii="ＭＳ ゴシック" w:hAnsi="ＭＳ ゴシック" w:eastAsia="ＭＳ ゴシック"/>
                          <w:b w:val="1"/>
                          <w:color w:val="000000" w:themeColor="dark1"/>
                          <w:sz w:val="16"/>
                        </w:rPr>
                        <w:t>804</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w:t>
                      </w:r>
                      <w:r>
                        <w:rPr>
                          <w:rFonts w:hint="default" w:ascii="ＭＳ ゴシック" w:hAnsi="ＭＳ ゴシック" w:eastAsia="ＭＳ ゴシック"/>
                          <w:b w:val="1"/>
                          <w:color w:val="000000" w:themeColor="dark1"/>
                          <w:sz w:val="16"/>
                        </w:rPr>
                        <w:t>19.</w:t>
                      </w:r>
                      <w:r>
                        <w:rPr>
                          <w:rFonts w:hint="eastAsia" w:ascii="ＭＳ ゴシック" w:hAnsi="ＭＳ ゴシック" w:eastAsia="ＭＳ ゴシック"/>
                          <w:b w:val="1"/>
                          <w:color w:val="000000" w:themeColor="dark1"/>
                          <w:sz w:val="16"/>
                        </w:rPr>
                        <w:t>5</w:t>
                      </w:r>
                      <w:r>
                        <w:rPr>
                          <w:rFonts w:hint="eastAsia" w:ascii="ＭＳ ゴシック" w:hAnsi="ＭＳ ゴシック" w:eastAsia="ＭＳ ゴシック"/>
                          <w:b w:val="1"/>
                          <w:color w:val="000000" w:themeColor="dark1"/>
                          <w:sz w:val="16"/>
                        </w:rPr>
                        <w:t>％</w:t>
                      </w:r>
                      <w:r>
                        <w:rPr>
                          <w:rFonts w:hint="default" w:ascii="ＭＳ ゴシック" w:hAnsi="ＭＳ ゴシック" w:eastAsia="ＭＳ ゴシック"/>
                          <w:b w:val="1"/>
                          <w:color w:val="000000" w:themeColor="dark1"/>
                          <w:sz w:val="16"/>
                        </w:rPr>
                        <w:t>)</w:t>
                      </w:r>
                    </w:p>
                    <w:p>
                      <w:pPr>
                        <w:pStyle w:val="0"/>
                        <w:spacing w:line="160" w:lineRule="exact"/>
                        <w:ind w:right="-163" w:rightChars="-68"/>
                        <w:jc w:val="center"/>
                        <w:rPr>
                          <w:rFonts w:hint="default" w:ascii="ＭＳ ゴシック" w:hAnsi="ＭＳ ゴシック" w:eastAsia="ＭＳ ゴシック"/>
                          <w:b w:val="1"/>
                          <w:color w:val="000000" w:themeColor="dark1"/>
                          <w:sz w:val="16"/>
                        </w:rPr>
                      </w:pPr>
                    </w:p>
                    <w:p>
                      <w:pPr>
                        <w:pStyle w:val="0"/>
                        <w:spacing w:line="200" w:lineRule="exact"/>
                        <w:ind w:right="-163" w:rightChars="-68"/>
                        <w:jc w:val="center"/>
                        <w:rPr>
                          <w:rFonts w:hint="default" w:ascii="ＭＳ ゴシック" w:hAnsi="ＭＳ ゴシック" w:eastAsia="ＭＳ ゴシック"/>
                          <w:b w:val="1"/>
                          <w:kern w:val="0"/>
                          <w:sz w:val="14"/>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11" behindDoc="0" locked="0" layoutInCell="1" hidden="0" allowOverlap="1">
                <wp:simplePos x="0" y="0"/>
                <wp:positionH relativeFrom="column">
                  <wp:posOffset>3584575</wp:posOffset>
                </wp:positionH>
                <wp:positionV relativeFrom="paragraph">
                  <wp:posOffset>1290955</wp:posOffset>
                </wp:positionV>
                <wp:extent cx="320675" cy="781050"/>
                <wp:effectExtent l="635" t="635" r="30480" b="10795"/>
                <wp:wrapNone/>
                <wp:docPr id="1154" name="右中かっこ 1037"/>
                <a:graphic xmlns:a="http://schemas.openxmlformats.org/drawingml/2006/main">
                  <a:graphicData uri="http://schemas.microsoft.com/office/word/2010/wordprocessingShape">
                    <wps:wsp>
                      <wps:cNvPr id="1154" name="右中かっこ 1037"/>
                      <wps:cNvSpPr/>
                      <wps:spPr>
                        <a:xfrm>
                          <a:off x="0" y="0"/>
                          <a:ext cx="320675" cy="781050"/>
                        </a:xfrm>
                        <a:prstGeom prst="rightBrace">
                          <a:avLst>
                            <a:gd name="adj1" fmla="val 27485"/>
                            <a:gd name="adj2" fmla="val 50000"/>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37" style="mso-wrap-distance-right:9pt;mso-wrap-distance-bottom:0pt;margin-top:101.65pt;mso-position-vertical-relative:text;mso-position-horizontal-relative:text;position:absolute;height:61.5pt;mso-wrap-distance-top:0pt;width:25.25pt;mso-wrap-distance-left:9pt;margin-left:282.25pt;z-index:111;" o:spid="_x0000_s1154" o:allowincell="t" o:allowoverlap="t" filled="f" stroked="t" strokecolor="#4472c4 [3204]" strokeweight="1pt" o:spt="88" type="#_x0000_t88" adj="5400,108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14" behindDoc="0" locked="0" layoutInCell="1" hidden="0" allowOverlap="1">
                <wp:simplePos x="0" y="0"/>
                <wp:positionH relativeFrom="column">
                  <wp:posOffset>5611495</wp:posOffset>
                </wp:positionH>
                <wp:positionV relativeFrom="paragraph">
                  <wp:posOffset>1319530</wp:posOffset>
                </wp:positionV>
                <wp:extent cx="238760" cy="2305050"/>
                <wp:effectExtent l="635" t="635" r="31750" b="10795"/>
                <wp:wrapNone/>
                <wp:docPr id="1155" name="右中かっこ 1040"/>
                <a:graphic xmlns:a="http://schemas.openxmlformats.org/drawingml/2006/main">
                  <a:graphicData uri="http://schemas.microsoft.com/office/word/2010/wordprocessingShape">
                    <wps:wsp>
                      <wps:cNvPr id="1155" name="右中かっこ 1040"/>
                      <wps:cNvSpPr/>
                      <wps:spPr>
                        <a:xfrm>
                          <a:off x="0" y="0"/>
                          <a:ext cx="238760" cy="2305050"/>
                        </a:xfrm>
                        <a:prstGeom prst="rightBrace">
                          <a:avLst>
                            <a:gd name="adj1" fmla="val 18155"/>
                            <a:gd name="adj2" fmla="val 58883"/>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40" style="mso-wrap-distance-right:9pt;mso-wrap-distance-bottom:0pt;margin-top:103.9pt;mso-position-vertical-relative:text;mso-position-horizontal-relative:text;position:absolute;height:181.5pt;mso-wrap-distance-top:0pt;width:18.8pt;mso-wrap-distance-left:9pt;margin-left:441.85pt;z-index:114;" o:spid="_x0000_s1155" o:allowincell="t" o:allowoverlap="t" filled="f" stroked="t" strokecolor="#4472c4 [3204]" strokeweight="1pt" o:spt="88" type="#_x0000_t88" adj="3921,12719">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10" behindDoc="0" locked="0" layoutInCell="1" hidden="0" allowOverlap="1">
                <wp:simplePos x="0" y="0"/>
                <wp:positionH relativeFrom="column">
                  <wp:posOffset>3363595</wp:posOffset>
                </wp:positionH>
                <wp:positionV relativeFrom="paragraph">
                  <wp:posOffset>1301115</wp:posOffset>
                </wp:positionV>
                <wp:extent cx="381635" cy="2332355"/>
                <wp:effectExtent l="635" t="635" r="31115" b="10795"/>
                <wp:wrapNone/>
                <wp:docPr id="1156" name="右中かっこ 1036"/>
                <a:graphic xmlns:a="http://schemas.openxmlformats.org/drawingml/2006/main">
                  <a:graphicData uri="http://schemas.microsoft.com/office/word/2010/wordprocessingShape">
                    <wps:wsp>
                      <wps:cNvPr id="1156" name="右中かっこ 1036"/>
                      <wps:cNvSpPr/>
                      <wps:spPr>
                        <a:xfrm>
                          <a:off x="0" y="0"/>
                          <a:ext cx="381635" cy="2332355"/>
                        </a:xfrm>
                        <a:prstGeom prst="rightBrace">
                          <a:avLst>
                            <a:gd name="adj1" fmla="val 18155"/>
                            <a:gd name="adj2" fmla="val 68139"/>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36" style="mso-wrap-distance-right:9pt;mso-wrap-distance-bottom:0pt;margin-top:102.45pt;mso-position-vertical-relative:text;mso-position-horizontal-relative:text;position:absolute;height:183.65pt;mso-wrap-distance-top:0pt;width:30.05pt;mso-wrap-distance-left:9pt;margin-left:264.85000000000002pt;z-index:110;" o:spid="_x0000_s1156" o:allowincell="t" o:allowoverlap="t" filled="f" stroked="t" strokecolor="#4472c4 [3204]" strokeweight="1pt" o:spt="88" type="#_x0000_t88" adj="3441,14718">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18" behindDoc="0" locked="0" layoutInCell="1" hidden="0" allowOverlap="1">
                <wp:simplePos x="0" y="0"/>
                <wp:positionH relativeFrom="column">
                  <wp:posOffset>1439545</wp:posOffset>
                </wp:positionH>
                <wp:positionV relativeFrom="paragraph">
                  <wp:posOffset>1392555</wp:posOffset>
                </wp:positionV>
                <wp:extent cx="971550" cy="579120"/>
                <wp:effectExtent l="635" t="635" r="29845" b="10795"/>
                <wp:wrapNone/>
                <wp:docPr id="1157" name="角丸四角形 3"/>
                <a:graphic xmlns:a="http://schemas.openxmlformats.org/drawingml/2006/main">
                  <a:graphicData uri="http://schemas.microsoft.com/office/word/2010/wordprocessingShape">
                    <wps:wsp>
                      <wps:cNvPr id="1157" name="角丸四角形 3"/>
                      <wps:cNvSpPr/>
                      <wps:spPr>
                        <a:xfrm>
                          <a:off x="0" y="0"/>
                          <a:ext cx="971550" cy="57912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wps:txbx>
                      <wps:bodyPr vertOverflow="clip" horzOverflow="clip" wrap="square" rtlCol="0" anchor="t"/>
                    </wps:wsp>
                  </a:graphicData>
                </a:graphic>
              </wp:anchor>
            </w:drawing>
          </mc:Choice>
          <mc:Fallback>
            <w:pict>
              <v:roundrect id="角丸四角形 3" style="mso-wrap-distance-right:9pt;mso-wrap-distance-bottom:0pt;margin-top:109.65pt;mso-position-vertical-relative:text;mso-position-horizontal-relative:text;v-text-anchor:top;position:absolute;height:45.6pt;mso-wrap-distance-top:0pt;width:76.5pt;mso-wrap-distance-left:9pt;margin-left:113.35pt;z-index:118;" o:spid="_x0000_s1157" o:allowincell="t" o:allowoverlap="t" filled="t" fillcolor="#ffffff [3212]" stroked="t" strokecolor="#000000 [3213]" strokeweight="0.5pt" o:spt="2" arcsize="10923f">
                <v:fill/>
                <v:stroke linestyle="single" miterlimit="8" endcap="flat" dashstyle="solid" filltype="solid"/>
                <v:textbox style="layout-flow:horizontal;">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12" behindDoc="0" locked="0" layoutInCell="1" hidden="0" allowOverlap="1">
                <wp:simplePos x="0" y="0"/>
                <wp:positionH relativeFrom="column">
                  <wp:posOffset>3975100</wp:posOffset>
                </wp:positionH>
                <wp:positionV relativeFrom="paragraph">
                  <wp:posOffset>791210</wp:posOffset>
                </wp:positionV>
                <wp:extent cx="1036955" cy="532130"/>
                <wp:effectExtent l="0" t="0" r="635" b="635"/>
                <wp:wrapNone/>
                <wp:docPr id="1158" name="角丸四角形 3"/>
                <a:graphic xmlns:a="http://schemas.openxmlformats.org/drawingml/2006/main">
                  <a:graphicData uri="http://schemas.microsoft.com/office/word/2010/wordprocessingShape">
                    <wps:wsp>
                      <wps:cNvPr id="1158" name="角丸四角形 3"/>
                      <wps:cNvSpPr/>
                      <wps:spPr>
                        <a:xfrm>
                          <a:off x="0" y="0"/>
                          <a:ext cx="1036955" cy="532130"/>
                        </a:xfrm>
                        <a:prstGeom prst="roundRect">
                          <a:avLst>
                            <a:gd name="adj" fmla="val 0"/>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 w:leftChars="-59" w:right="-163" w:rightChars="-68" w:hanging="141" w:hangingChars="88"/>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●介護給付</w:t>
                            </w:r>
                          </w:p>
                        </w:txbxContent>
                      </wps:txbx>
                      <wps:bodyPr vertOverflow="clip" horzOverflow="clip" wrap="square" rtlCol="0" anchor="t"/>
                    </wps:wsp>
                  </a:graphicData>
                </a:graphic>
              </wp:anchor>
            </w:drawing>
          </mc:Choice>
          <mc:Fallback>
            <w:pict>
              <v:roundrect id="角丸四角形 3" style="mso-wrap-distance-right:9pt;mso-wrap-distance-bottom:0pt;margin-top:62.3pt;mso-position-vertical-relative:text;mso-position-horizontal-relative:text;v-text-anchor:top;position:absolute;height:41.9pt;mso-wrap-distance-top:0pt;width:81.650000000000006pt;mso-wrap-distance-left:9pt;margin-left:313pt;z-index:112;" o:spid="_x0000_s1158" o:allowincell="t" o:allowoverlap="t" filled="f" stroked="f" strokecolor="#70ad47 [3209]" strokeweight="0.5pt" o:spt="2" arcsize="0f">
                <v:fill/>
                <v:stroke linestyle="single" miterlimit="8" endcap="flat" dashstyle="solid"/>
                <v:textbox style="layout-flow:horizontal;">
                  <w:txbxContent>
                    <w:p>
                      <w:pPr>
                        <w:pStyle w:val="0"/>
                        <w:spacing w:line="200" w:lineRule="exact"/>
                        <w:ind w:left="-1" w:leftChars="-59" w:right="-163" w:rightChars="-68" w:hanging="141" w:hangingChars="88"/>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●介護給付</w:t>
                      </w:r>
                    </w:p>
                  </w:txbxContent>
                </v:textbox>
                <v:imagedata o:title=""/>
                <w10:wrap type="none" anchorx="text" anchory="text"/>
              </v:roundrect>
            </w:pict>
          </mc:Fallback>
        </mc:AlternateContent>
      </w:r>
      <w:r>
        <w:rPr>
          <w:rFonts w:hint="eastAsia"/>
        </w:rPr>
        <w:drawing>
          <wp:anchor distT="0" distB="0" distL="114300" distR="114300" simplePos="0" relativeHeight="96" behindDoc="1" locked="0" layoutInCell="1" hidden="0" allowOverlap="1">
            <wp:simplePos x="0" y="0"/>
            <wp:positionH relativeFrom="column">
              <wp:posOffset>502920</wp:posOffset>
            </wp:positionH>
            <wp:positionV relativeFrom="paragraph">
              <wp:posOffset>504825</wp:posOffset>
            </wp:positionV>
            <wp:extent cx="2890520" cy="3129280"/>
            <wp:effectExtent l="635" t="1270" r="29845" b="10795"/>
            <wp:wrapNone/>
            <wp:docPr id="1159" name="オブジェクト 0"/>
            <a:graphic xmlns:a="http://schemas.openxmlformats.org/drawingml/2006/main">
              <a:graphicData uri="http://schemas.openxmlformats.org/drawingml/2006/diagram">
                <dgm:relIds xmlns:dgm="http://schemas.openxmlformats.org/drawingml/2006/diagram" r:dm="rId87" r:lo="rId88" r:qs="rId89" r:cs="rId90"/>
              </a:graphicData>
            </a:graphic>
          </wp:anchor>
        </w:drawing>
      </w:r>
      <w:r>
        <w:rPr>
          <w:rFonts w:hint="default"/>
        </w:rPr>
        <mc:AlternateContent>
          <mc:Choice Requires="wps">
            <w:drawing>
              <wp:anchor distT="0" distB="0" distL="114300" distR="114300" simplePos="0" relativeHeight="109" behindDoc="0" locked="0" layoutInCell="1" hidden="0" allowOverlap="1">
                <wp:simplePos x="0" y="0"/>
                <wp:positionH relativeFrom="column">
                  <wp:posOffset>3565525</wp:posOffset>
                </wp:positionH>
                <wp:positionV relativeFrom="paragraph">
                  <wp:posOffset>514985</wp:posOffset>
                </wp:positionV>
                <wp:extent cx="320675" cy="770255"/>
                <wp:effectExtent l="635" t="635" r="30480" b="10795"/>
                <wp:wrapNone/>
                <wp:docPr id="1160" name="右中かっこ 1035"/>
                <a:graphic xmlns:a="http://schemas.openxmlformats.org/drawingml/2006/main">
                  <a:graphicData uri="http://schemas.microsoft.com/office/word/2010/wordprocessingShape">
                    <wps:wsp>
                      <wps:cNvPr id="1160" name="右中かっこ 1035"/>
                      <wps:cNvSpPr/>
                      <wps:spPr>
                        <a:xfrm>
                          <a:off x="0" y="0"/>
                          <a:ext cx="320675" cy="770255"/>
                        </a:xfrm>
                        <a:prstGeom prst="rightBrace">
                          <a:avLst>
                            <a:gd name="adj1" fmla="val 27485"/>
                            <a:gd name="adj2" fmla="val 50000"/>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35" style="mso-wrap-distance-right:9pt;mso-wrap-distance-bottom:0pt;margin-top:40.54pt;mso-position-vertical-relative:text;mso-position-horizontal-relative:text;position:absolute;height:60.65pt;mso-wrap-distance-top:0pt;width:25.25pt;mso-wrap-distance-left:9pt;margin-left:280.75pt;z-index:109;" o:spid="_x0000_s1160" o:allowincell="t" o:allowoverlap="t" filled="f" stroked="t" strokecolor="#4472c4 [3204]" strokeweight="1pt" o:spt="88" type="#_x0000_t88" adj="5400,108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43" behindDoc="0" locked="0" layoutInCell="1" hidden="0" allowOverlap="1">
                <wp:simplePos x="0" y="0"/>
                <wp:positionH relativeFrom="column">
                  <wp:posOffset>-473710</wp:posOffset>
                </wp:positionH>
                <wp:positionV relativeFrom="paragraph">
                  <wp:posOffset>140970</wp:posOffset>
                </wp:positionV>
                <wp:extent cx="1315720" cy="3769360"/>
                <wp:effectExtent l="0" t="0" r="635" b="635"/>
                <wp:wrapNone/>
                <wp:docPr id="1161" name="上下矢印 19"/>
                <a:graphic xmlns:a="http://schemas.openxmlformats.org/drawingml/2006/main">
                  <a:graphicData uri="http://schemas.microsoft.com/office/word/2010/wordprocessingShape">
                    <wps:wsp>
                      <wps:cNvPr id="1161" name="上下矢印 19"/>
                      <wps:cNvSpPr/>
                      <wps:spPr>
                        <a:xfrm>
                          <a:off x="0" y="0"/>
                          <a:ext cx="1315720" cy="3769360"/>
                        </a:xfrm>
                        <a:prstGeom prst="upDownArrow">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ゴシック" w:hAnsi="ＭＳ ゴシック" w:eastAsia="ＭＳ ゴシック"/>
                                <w:color w:val="FFFFFF" w:themeColor="background1"/>
                                <w:kern w:val="0"/>
                                <w:sz w:val="14"/>
                              </w:rPr>
                            </w:pPr>
                            <w:r>
                              <w:rPr>
                                <w:rFonts w:hint="eastAsia" w:ascii="ＭＳ ゴシック" w:hAnsi="ＭＳ ゴシック" w:eastAsia="ＭＳ ゴシック"/>
                                <w:b w:val="1"/>
                                <w:color w:val="FFFFFF" w:themeColor="background1"/>
                                <w:sz w:val="16"/>
                              </w:rPr>
                              <w:t>低</w:t>
                            </w: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　</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活</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能</w:t>
                            </w: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高</w:t>
                            </w:r>
                          </w:p>
                        </w:txbxContent>
                      </wps:txbx>
                      <wps:bodyPr vertOverflow="clip" horzOverflow="clip" wrap="square" rtlCol="0" anchor="ct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style="mso-wrap-distance-right:9pt;mso-wrap-distance-bottom:0pt;margin-top:11.1pt;mso-position-vertical-relative:text;mso-position-horizontal-relative:text;v-text-anchor:middle;position:absolute;height:296.8pt;mso-wrap-distance-top:0pt;width:103.6pt;mso-wrap-distance-left:9pt;margin-left:-37.29pt;z-index:43;" o:spid="_x0000_s1161" o:allowincell="t" o:allowoverlap="t" filled="f" stroked="f" strokecolor="#32528f" strokeweight="1.5pt" o:spt="70" type="#_x0000_t70" adj="5400,10800">
                <v:fill/>
                <v:stroke linestyle="single" miterlimit="8" endcap="flat" dashstyle="solid"/>
                <v:textbox style="layout-flow:horizontal;">
                  <w:txbxContent>
                    <w:p>
                      <w:pPr>
                        <w:pStyle w:val="0"/>
                        <w:spacing w:line="240" w:lineRule="exact"/>
                        <w:jc w:val="center"/>
                        <w:rPr>
                          <w:rFonts w:hint="default" w:ascii="ＭＳ ゴシック" w:hAnsi="ＭＳ ゴシック" w:eastAsia="ＭＳ ゴシック"/>
                          <w:color w:val="FFFFFF" w:themeColor="background1"/>
                          <w:kern w:val="0"/>
                          <w:sz w:val="14"/>
                        </w:rPr>
                      </w:pPr>
                      <w:r>
                        <w:rPr>
                          <w:rFonts w:hint="eastAsia" w:ascii="ＭＳ ゴシック" w:hAnsi="ＭＳ ゴシック" w:eastAsia="ＭＳ ゴシック"/>
                          <w:b w:val="1"/>
                          <w:color w:val="FFFFFF" w:themeColor="background1"/>
                          <w:sz w:val="16"/>
                        </w:rPr>
                        <w:t>低</w:t>
                      </w: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　</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活</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能</w:t>
                      </w: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高</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95" behindDoc="0" locked="0" layoutInCell="1" hidden="0" allowOverlap="1">
                <wp:simplePos x="0" y="0"/>
                <wp:positionH relativeFrom="column">
                  <wp:posOffset>-477520</wp:posOffset>
                </wp:positionH>
                <wp:positionV relativeFrom="paragraph">
                  <wp:posOffset>140970</wp:posOffset>
                </wp:positionV>
                <wp:extent cx="1315720" cy="3769360"/>
                <wp:effectExtent l="0" t="0" r="635" b="635"/>
                <wp:wrapNone/>
                <wp:docPr id="1162" name="上下矢印 19"/>
                <a:graphic xmlns:a="http://schemas.openxmlformats.org/drawingml/2006/main">
                  <a:graphicData uri="http://schemas.microsoft.com/office/word/2010/wordprocessingShape">
                    <wps:wsp>
                      <wps:cNvPr id="1162" name="上下矢印 19"/>
                      <wps:cNvSpPr/>
                      <wps:spPr>
                        <a:xfrm>
                          <a:off x="0" y="0"/>
                          <a:ext cx="1315720" cy="3769360"/>
                        </a:xfrm>
                        <a:prstGeom prst="upDownArrow">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jc w:val="center"/>
                              <w:rPr>
                                <w:rFonts w:hint="default" w:ascii="ＭＳ ゴシック" w:hAnsi="ＭＳ ゴシック" w:eastAsia="ＭＳ ゴシック"/>
                                <w:color w:val="FFFFFF" w:themeColor="background1"/>
                                <w:kern w:val="0"/>
                                <w:sz w:val="14"/>
                              </w:rPr>
                            </w:pPr>
                            <w:r>
                              <w:rPr>
                                <w:rFonts w:hint="eastAsia" w:ascii="ＭＳ ゴシック" w:hAnsi="ＭＳ ゴシック" w:eastAsia="ＭＳ ゴシック"/>
                                <w:b w:val="1"/>
                                <w:color w:val="FFFFFF" w:themeColor="background1"/>
                                <w:sz w:val="16"/>
                              </w:rPr>
                              <w:t>低</w:t>
                            </w: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　</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活</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能</w:t>
                            </w: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高</w:t>
                            </w:r>
                          </w:p>
                        </w:txbxContent>
                      </wps:txbx>
                      <wps:bodyPr vertOverflow="clip" horzOverflow="clip" wrap="square" rtlCol="0" anchor="ct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style="mso-wrap-distance-right:9pt;mso-wrap-distance-bottom:0pt;margin-top:11.1pt;mso-position-vertical-relative:text;mso-position-horizontal-relative:text;v-text-anchor:middle;position:absolute;height:296.8pt;mso-wrap-distance-top:0pt;width:103.6pt;mso-wrap-distance-left:9pt;margin-left:-37.6pt;z-index:95;" o:spid="_x0000_s1162" o:allowincell="t" o:allowoverlap="t" filled="f" stroked="f" strokecolor="#32528f" strokeweight="1.5pt" o:spt="70" type="#_x0000_t70" adj="5400,10800">
                <v:fill/>
                <v:stroke linestyle="single" miterlimit="8" endcap="flat" dashstyle="solid"/>
                <v:textbox style="layout-flow:horizontal;">
                  <w:txbxContent>
                    <w:p>
                      <w:pPr>
                        <w:pStyle w:val="0"/>
                        <w:spacing w:line="240" w:lineRule="exact"/>
                        <w:jc w:val="center"/>
                        <w:rPr>
                          <w:rFonts w:hint="default" w:ascii="ＭＳ ゴシック" w:hAnsi="ＭＳ ゴシック" w:eastAsia="ＭＳ ゴシック"/>
                          <w:color w:val="FFFFFF" w:themeColor="background1"/>
                          <w:kern w:val="0"/>
                          <w:sz w:val="14"/>
                        </w:rPr>
                      </w:pPr>
                      <w:r>
                        <w:rPr>
                          <w:rFonts w:hint="eastAsia" w:ascii="ＭＳ ゴシック" w:hAnsi="ＭＳ ゴシック" w:eastAsia="ＭＳ ゴシック"/>
                          <w:b w:val="1"/>
                          <w:color w:val="FFFFFF" w:themeColor="background1"/>
                          <w:sz w:val="16"/>
                        </w:rPr>
                        <w:t>低</w:t>
                      </w: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b w:val="1"/>
                          <w:color w:val="FFFFFF" w:themeColor="background1"/>
                          <w:sz w:val="16"/>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　</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活</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機</w:t>
                      </w:r>
                    </w:p>
                    <w:p>
                      <w:pPr>
                        <w:pStyle w:val="0"/>
                        <w:spacing w:line="240" w:lineRule="exact"/>
                        <w:jc w:val="center"/>
                        <w:rPr>
                          <w:rFonts w:hint="default" w:ascii="ＭＳ ゴシック" w:hAnsi="ＭＳ ゴシック" w:eastAsia="ＭＳ ゴシック"/>
                          <w:b w:val="1"/>
                          <w:color w:val="FFFFFF" w:themeColor="background1"/>
                          <w:sz w:val="16"/>
                        </w:rPr>
                      </w:pPr>
                      <w:r>
                        <w:rPr>
                          <w:rFonts w:hint="eastAsia" w:ascii="ＭＳ ゴシック" w:hAnsi="ＭＳ ゴシック" w:eastAsia="ＭＳ ゴシック"/>
                          <w:b w:val="1"/>
                          <w:color w:val="FFFFFF" w:themeColor="background1"/>
                          <w:sz w:val="16"/>
                        </w:rPr>
                        <w:t>能</w:t>
                      </w: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p>
                    <w:p>
                      <w:pPr>
                        <w:pStyle w:val="0"/>
                        <w:spacing w:line="240" w:lineRule="exact"/>
                        <w:jc w:val="center"/>
                        <w:rPr>
                          <w:rFonts w:hint="default" w:ascii="ＭＳ ゴシック" w:hAnsi="ＭＳ ゴシック" w:eastAsia="ＭＳ ゴシック"/>
                          <w:color w:val="FFFFFF" w:themeColor="background1"/>
                          <w:sz w:val="14"/>
                        </w:rPr>
                      </w:pPr>
                      <w:r>
                        <w:rPr>
                          <w:rFonts w:hint="eastAsia" w:ascii="ＭＳ ゴシック" w:hAnsi="ＭＳ ゴシック" w:eastAsia="ＭＳ ゴシック"/>
                          <w:b w:val="1"/>
                          <w:color w:val="FFFFFF" w:themeColor="background1"/>
                          <w:sz w:val="16"/>
                        </w:rPr>
                        <w:t>高</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13" behindDoc="0" locked="0" layoutInCell="1" hidden="0" allowOverlap="1">
                <wp:simplePos x="0" y="0"/>
                <wp:positionH relativeFrom="column">
                  <wp:posOffset>3970655</wp:posOffset>
                </wp:positionH>
                <wp:positionV relativeFrom="paragraph">
                  <wp:posOffset>1476375</wp:posOffset>
                </wp:positionV>
                <wp:extent cx="2147570" cy="2277110"/>
                <wp:effectExtent l="0" t="0" r="635" b="635"/>
                <wp:wrapNone/>
                <wp:docPr id="1163" name="角丸四角形 3"/>
                <a:graphic xmlns:a="http://schemas.openxmlformats.org/drawingml/2006/main">
                  <a:graphicData uri="http://schemas.microsoft.com/office/word/2010/wordprocessingShape">
                    <wps:wsp>
                      <wps:cNvPr id="1163" name="角丸四角形 3"/>
                      <wps:cNvSpPr/>
                      <wps:spPr>
                        <a:xfrm>
                          <a:off x="0" y="0"/>
                          <a:ext cx="2147570" cy="2277110"/>
                        </a:xfrm>
                        <a:prstGeom prst="roundRect">
                          <a:avLst>
                            <a:gd name="adj" fmla="val 0"/>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●介護予防給付</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★介護予防・生活支援サービス事業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訪問型サービス、通所型サービス</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・専門型　　・緩和型</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・短期集中型</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★一般介護予防事業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・介護予防普及啓発事業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・地域介護予防活動支援事業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・地域リハビリテーション活動</w:t>
                            </w:r>
                          </w:p>
                          <w:p>
                            <w:pPr>
                              <w:pStyle w:val="0"/>
                              <w:spacing w:line="200" w:lineRule="exact"/>
                              <w:ind w:left="-142" w:leftChars="-59" w:right="-163" w:rightChars="-68" w:firstLine="320" w:firstLineChars="200"/>
                              <w:rPr>
                                <w:rFonts w:hint="default" w:ascii="ＭＳ ゴシック" w:hAnsi="ＭＳ ゴシック" w:eastAsia="ＭＳ ゴシック"/>
                                <w:kern w:val="0"/>
                                <w:sz w:val="14"/>
                              </w:rPr>
                            </w:pPr>
                            <w:r>
                              <w:rPr>
                                <w:rFonts w:hint="eastAsia" w:ascii="ＭＳ ゴシック" w:hAnsi="ＭＳ ゴシック" w:eastAsia="ＭＳ ゴシック"/>
                                <w:color w:val="000000" w:themeColor="dark1"/>
                                <w:sz w:val="16"/>
                              </w:rPr>
                              <w:t>支援事業</w:t>
                            </w:r>
                          </w:p>
                        </w:txbxContent>
                      </wps:txbx>
                      <wps:bodyPr vertOverflow="clip" horzOverflow="clip" wrap="square" rtlCol="0" anchor="t"/>
                    </wps:wsp>
                  </a:graphicData>
                </a:graphic>
              </wp:anchor>
            </w:drawing>
          </mc:Choice>
          <mc:Fallback>
            <w:pict>
              <v:roundrect id="角丸四角形 3" style="mso-wrap-distance-right:9pt;mso-wrap-distance-bottom:0pt;margin-top:116.25pt;mso-position-vertical-relative:text;mso-position-horizontal-relative:text;v-text-anchor:top;position:absolute;height:179.3pt;mso-wrap-distance-top:0pt;width:169.1pt;mso-wrap-distance-left:9pt;margin-left:312.64pt;z-index:113;" o:spid="_x0000_s1163" o:allowincell="t" o:allowoverlap="t" filled="f" stroked="f" strokecolor="#70ad47 [3209]" strokeweight="0.5pt" o:spt="2" arcsize="0f">
                <v:fill/>
                <v:stroke linestyle="single" miterlimit="8" endcap="flat" dashstyle="solid"/>
                <v:textbox style="layout-flow:horizontal;">
                  <w:txbxContent>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●介護予防給付</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★介護予防・生活支援サービス事業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訪問型サービス、通所型サービス</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・専門型　　・緩和型</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・短期集中型</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★一般介護予防事業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・介護予防普及啓発事業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・地域介護予防活動支援事業</w:t>
                      </w:r>
                    </w:p>
                    <w:p>
                      <w:pPr>
                        <w:pStyle w:val="0"/>
                        <w:spacing w:line="200" w:lineRule="exact"/>
                        <w:ind w:left="-1" w:leftChars="-59" w:right="-163" w:rightChars="-68" w:hanging="141" w:hangingChars="88"/>
                        <w:rPr>
                          <w:rFonts w:hint="default" w:ascii="ＭＳ ゴシック" w:hAnsi="ＭＳ ゴシック" w:eastAsia="ＭＳ ゴシック"/>
                          <w:color w:val="000000" w:themeColor="dark1"/>
                          <w:sz w:val="16"/>
                        </w:rPr>
                      </w:pPr>
                      <w:r>
                        <w:rPr>
                          <w:rFonts w:hint="eastAsia" w:ascii="ＭＳ ゴシック" w:hAnsi="ＭＳ ゴシック" w:eastAsia="ＭＳ ゴシック"/>
                          <w:color w:val="000000" w:themeColor="dark1"/>
                          <w:sz w:val="16"/>
                        </w:rPr>
                        <w:t>　・地域リハビリテーション活動</w:t>
                      </w:r>
                    </w:p>
                    <w:p>
                      <w:pPr>
                        <w:pStyle w:val="0"/>
                        <w:spacing w:line="200" w:lineRule="exact"/>
                        <w:ind w:left="-142" w:leftChars="-59" w:right="-163" w:rightChars="-68" w:firstLine="320" w:firstLineChars="200"/>
                        <w:rPr>
                          <w:rFonts w:hint="default" w:ascii="ＭＳ ゴシック" w:hAnsi="ＭＳ ゴシック" w:eastAsia="ＭＳ ゴシック"/>
                          <w:kern w:val="0"/>
                          <w:sz w:val="14"/>
                        </w:rPr>
                      </w:pPr>
                      <w:r>
                        <w:rPr>
                          <w:rFonts w:hint="eastAsia" w:ascii="ＭＳ ゴシック" w:hAnsi="ＭＳ ゴシック" w:eastAsia="ＭＳ ゴシック"/>
                          <w:color w:val="000000" w:themeColor="dark1"/>
                          <w:sz w:val="16"/>
                        </w:rPr>
                        <w:t>支援事業</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15" behindDoc="0" locked="0" layoutInCell="1" hidden="0" allowOverlap="1">
                <wp:simplePos x="0" y="0"/>
                <wp:positionH relativeFrom="column">
                  <wp:posOffset>6009640</wp:posOffset>
                </wp:positionH>
                <wp:positionV relativeFrom="paragraph">
                  <wp:posOffset>1977390</wp:posOffset>
                </wp:positionV>
                <wp:extent cx="375285" cy="1353820"/>
                <wp:effectExtent l="0" t="0" r="635" b="635"/>
                <wp:wrapNone/>
                <wp:docPr id="1164" name="角丸四角形 3"/>
                <a:graphic xmlns:a="http://schemas.openxmlformats.org/drawingml/2006/main">
                  <a:graphicData uri="http://schemas.microsoft.com/office/word/2010/wordprocessingShape">
                    <wps:wsp>
                      <wps:cNvPr id="1164" name="角丸四角形 3"/>
                      <wps:cNvSpPr/>
                      <wps:spPr>
                        <a:xfrm>
                          <a:off x="0" y="0"/>
                          <a:ext cx="375285" cy="1353820"/>
                        </a:xfrm>
                        <a:prstGeom prst="roundRect">
                          <a:avLst>
                            <a:gd name="adj" fmla="val 0"/>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総</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合</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事</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業</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対</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象</w:t>
                            </w:r>
                          </w:p>
                          <w:p>
                            <w:pPr>
                              <w:pStyle w:val="0"/>
                              <w:spacing w:line="200" w:lineRule="exact"/>
                              <w:ind w:left="-1" w:leftChars="-59" w:right="-163" w:rightChars="-68" w:hanging="141" w:hangingChars="88"/>
                              <w:rPr>
                                <w:rFonts w:hint="default" w:ascii="ＭＳ ゴシック" w:hAnsi="ＭＳ ゴシック" w:eastAsia="ＭＳ ゴシック"/>
                                <w:kern w:val="0"/>
                                <w:sz w:val="14"/>
                              </w:rPr>
                            </w:pPr>
                            <w:r>
                              <w:rPr>
                                <w:rFonts w:hint="eastAsia" w:ascii="ＭＳ ゴシック" w:hAnsi="ＭＳ ゴシック" w:eastAsia="ＭＳ ゴシック"/>
                                <w:b w:val="1"/>
                                <w:color w:val="000000" w:themeColor="dark1"/>
                                <w:sz w:val="16"/>
                              </w:rPr>
                              <w:t>者</w:t>
                            </w:r>
                          </w:p>
                        </w:txbxContent>
                      </wps:txbx>
                      <wps:bodyPr vertOverflow="clip" horzOverflow="clip" wrap="square" rtlCol="0" anchor="t"/>
                    </wps:wsp>
                  </a:graphicData>
                </a:graphic>
              </wp:anchor>
            </w:drawing>
          </mc:Choice>
          <mc:Fallback>
            <w:pict>
              <v:roundrect id="角丸四角形 3" style="mso-wrap-distance-right:9pt;mso-wrap-distance-bottom:0pt;margin-top:155.69pt;mso-position-vertical-relative:text;mso-position-horizontal-relative:text;v-text-anchor:top;position:absolute;height:106.6pt;mso-wrap-distance-top:0pt;width:29.55pt;mso-wrap-distance-left:9pt;margin-left:473.2pt;z-index:115;" o:spid="_x0000_s1164" o:allowincell="t" o:allowoverlap="t" filled="f" stroked="f" strokecolor="#70ad47 [3209]" strokeweight="0.5pt" o:spt="2" arcsize="0f">
                <v:fill/>
                <v:stroke linestyle="single" miterlimit="8" endcap="flat" dashstyle="solid"/>
                <v:textbox style="layout-flow:horizontal;">
                  <w:txbxContent>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総</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合</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事</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業</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対</w:t>
                      </w:r>
                    </w:p>
                    <w:p>
                      <w:pPr>
                        <w:pStyle w:val="0"/>
                        <w:spacing w:line="200" w:lineRule="exact"/>
                        <w:ind w:left="-1" w:leftChars="-59" w:right="-163" w:rightChars="-68" w:hanging="141" w:hangingChars="88"/>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象</w:t>
                      </w:r>
                    </w:p>
                    <w:p>
                      <w:pPr>
                        <w:pStyle w:val="0"/>
                        <w:spacing w:line="200" w:lineRule="exact"/>
                        <w:ind w:left="-1" w:leftChars="-59" w:right="-163" w:rightChars="-68" w:hanging="141" w:hangingChars="88"/>
                        <w:rPr>
                          <w:rFonts w:hint="default" w:ascii="ＭＳ ゴシック" w:hAnsi="ＭＳ ゴシック" w:eastAsia="ＭＳ ゴシック"/>
                          <w:kern w:val="0"/>
                          <w:sz w:val="14"/>
                        </w:rPr>
                      </w:pPr>
                      <w:r>
                        <w:rPr>
                          <w:rFonts w:hint="eastAsia" w:ascii="ＭＳ ゴシック" w:hAnsi="ＭＳ ゴシック" w:eastAsia="ＭＳ ゴシック"/>
                          <w:b w:val="1"/>
                          <w:color w:val="000000" w:themeColor="dark1"/>
                          <w:sz w:val="16"/>
                        </w:rPr>
                        <w:t>者</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01" behindDoc="0" locked="0" layoutInCell="1" hidden="0" allowOverlap="1">
                <wp:simplePos x="0" y="0"/>
                <wp:positionH relativeFrom="column">
                  <wp:posOffset>1442085</wp:posOffset>
                </wp:positionH>
                <wp:positionV relativeFrom="paragraph">
                  <wp:posOffset>2228850</wp:posOffset>
                </wp:positionV>
                <wp:extent cx="971550" cy="502920"/>
                <wp:effectExtent l="635" t="635" r="29845" b="10795"/>
                <wp:wrapNone/>
                <wp:docPr id="1165" name="角丸四角形 3"/>
                <a:graphic xmlns:a="http://schemas.openxmlformats.org/drawingml/2006/main">
                  <a:graphicData uri="http://schemas.microsoft.com/office/word/2010/wordprocessingShape">
                    <wps:wsp>
                      <wps:cNvPr id="1165" name="角丸四角形 3"/>
                      <wps:cNvSpPr/>
                      <wps:spPr>
                        <a:xfrm>
                          <a:off x="0" y="0"/>
                          <a:ext cx="971550" cy="50292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wps:txbx>
                      <wps:bodyPr vertOverflow="clip" horzOverflow="clip" wrap="square" rtlCol="0" anchor="t"/>
                    </wps:wsp>
                  </a:graphicData>
                </a:graphic>
              </wp:anchor>
            </w:drawing>
          </mc:Choice>
          <mc:Fallback>
            <w:pict>
              <v:roundrect id="角丸四角形 3" style="mso-wrap-distance-right:9pt;mso-wrap-distance-bottom:0pt;margin-top:175.5pt;mso-position-vertical-relative:text;mso-position-horizontal-relative:text;v-text-anchor:top;position:absolute;height:39.6pt;mso-wrap-distance-top:0pt;width:76.5pt;mso-wrap-distance-left:9pt;margin-left:113.55pt;z-index:101;" o:spid="_x0000_s1165" o:allowincell="t" o:allowoverlap="t" filled="t" fillcolor="#ffffff [3212]" stroked="t" strokecolor="#000000 [3213]" strokeweight="0.5pt" o:spt="2" arcsize="10923f">
                <v:fill/>
                <v:stroke linestyle="single" miterlimit="8" endcap="flat" dashstyle="solid" filltype="solid"/>
                <v:textbox style="layout-flow:horizontal;">
                  <w:txbxContent>
                    <w:p>
                      <w:pPr>
                        <w:pStyle w:val="0"/>
                        <w:spacing w:line="200" w:lineRule="exact"/>
                        <w:ind w:left="-18" w:leftChars="-59" w:right="-163" w:rightChars="-68" w:hanging="124" w:hangingChars="88"/>
                        <w:jc w:val="center"/>
                        <w:rPr>
                          <w:rFonts w:hint="default" w:ascii="ＭＳ ゴシック" w:hAnsi="ＭＳ ゴシック" w:eastAsia="ＭＳ ゴシック"/>
                          <w:b w:val="1"/>
                          <w:kern w:val="0"/>
                          <w:sz w:val="14"/>
                        </w:rPr>
                      </w:pPr>
                    </w:p>
                  </w:txbxContent>
                </v:textbox>
                <v:imagedata o:title=""/>
                <w10:wrap type="none" anchorx="text" anchory="text"/>
              </v:roundrect>
            </w:pict>
          </mc:Fallback>
        </mc:AlternateContent>
      </w: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80</w:t>
      </w:r>
      <w:r>
        <w:rPr>
          <w:rFonts w:hint="eastAsia" w:ascii="ＭＳ ゴシック" w:hAnsi="ＭＳ ゴシック" w:eastAsia="ＭＳ ゴシック"/>
          <w:sz w:val="21"/>
        </w:rPr>
        <w:t>：総合事業の対象範囲</w:t>
      </w:r>
    </w:p>
    <w:p>
      <w:pPr>
        <w:pStyle w:val="0"/>
        <w:rPr>
          <w:rFonts w:hint="default"/>
        </w:rPr>
      </w:pPr>
      <w:r>
        <w:rPr>
          <w:rFonts w:hint="eastAsia"/>
        </w:rPr>
        <mc:AlternateContent>
          <mc:Choice Requires="wps">
            <w:drawing>
              <wp:anchor distT="0" distB="0" distL="114300" distR="114300" simplePos="0" relativeHeight="105" behindDoc="0" locked="0" layoutInCell="1" hidden="0" allowOverlap="1">
                <wp:simplePos x="0" y="0"/>
                <wp:positionH relativeFrom="column">
                  <wp:posOffset>1965960</wp:posOffset>
                </wp:positionH>
                <wp:positionV relativeFrom="paragraph">
                  <wp:posOffset>59690</wp:posOffset>
                </wp:positionV>
                <wp:extent cx="1599565" cy="0"/>
                <wp:effectExtent l="0" t="635" r="29210" b="10795"/>
                <wp:wrapNone/>
                <wp:docPr id="1166" name="直線コネクタ 2079"/>
                <a:graphic xmlns:a="http://schemas.openxmlformats.org/drawingml/2006/main">
                  <a:graphicData uri="http://schemas.microsoft.com/office/word/2010/wordprocessingShape">
                    <wps:wsp>
                      <wps:cNvPr id="1166" name="直線コネクタ 2079"/>
                      <wps:cNvSpPr/>
                      <wps:spPr>
                        <a:xfrm>
                          <a:off x="0" y="0"/>
                          <a:ext cx="159956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79" style="mso-wrap-distance-top:0pt;mso-wrap-distance-right:9pt;mso-wrap-distance-bottom:0pt;mso-position-vertical-relative:text;mso-position-horizontal-relative:text;position:absolute;mso-wrap-distance-left:9pt;z-index:105;" o:spid="_x0000_s1166" o:allowincell="t" o:allowoverlap="t" filled="f" stroked="t" strokecolor="#4472c4 [3204]" strokeweight="1pt" o:spt="20" from="154.80000000000001pt,4.7pt" to="280.75pt,4.7pt">
                <v:fill/>
                <v:stroke linestyle="single" miterlimit="8" endcap="flat" dashstyle="shortdash" filltype="solid"/>
                <v:textbox style="layout-flow:horizontal;"/>
                <v:imagedata o:title=""/>
                <w10:wrap type="none" anchorx="text" anchory="text"/>
              </v:line>
            </w:pict>
          </mc:Fallback>
        </mc:AlternateContent>
      </w:r>
    </w:p>
    <w:p>
      <w:pPr>
        <w:pStyle w:val="0"/>
        <w:rPr>
          <w:rFonts w:hint="default"/>
        </w:rPr>
      </w:pPr>
      <w:r>
        <w:rPr>
          <w:rFonts w:hint="eastAsia"/>
        </w:rPr>
        <mc:AlternateContent>
          <mc:Choice Requires="wps">
            <w:drawing>
              <wp:anchor distT="0" distB="0" distL="114300" distR="114300" simplePos="0" relativeHeight="117" behindDoc="0" locked="0" layoutInCell="1" hidden="0" allowOverlap="1">
                <wp:simplePos x="0" y="0"/>
                <wp:positionH relativeFrom="column">
                  <wp:posOffset>1432560</wp:posOffset>
                </wp:positionH>
                <wp:positionV relativeFrom="paragraph">
                  <wp:posOffset>15240</wp:posOffset>
                </wp:positionV>
                <wp:extent cx="1017905" cy="560705"/>
                <wp:effectExtent l="635" t="635" r="635" b="635"/>
                <wp:wrapNone/>
                <wp:docPr id="1167" name="角丸四角形 3"/>
                <a:graphic xmlns:a="http://schemas.openxmlformats.org/drawingml/2006/main">
                  <a:graphicData uri="http://schemas.microsoft.com/office/word/2010/wordprocessingShape">
                    <wps:wsp>
                      <wps:cNvPr id="1167" name="角丸四角形 3"/>
                      <wps:cNvSpPr/>
                      <wps:spPr>
                        <a:xfrm>
                          <a:off x="0" y="0"/>
                          <a:ext cx="1017905" cy="56070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要介護１～５</w:t>
                            </w:r>
                          </w:p>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3</w:t>
                            </w:r>
                            <w:r>
                              <w:rPr>
                                <w:rFonts w:hint="default"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991</w:t>
                            </w:r>
                            <w:r>
                              <w:rPr>
                                <w:rFonts w:hint="eastAsia" w:ascii="ＭＳ ゴシック" w:hAnsi="ＭＳ ゴシック" w:eastAsia="ＭＳ ゴシック"/>
                                <w:b w:val="1"/>
                                <w:color w:val="000000" w:themeColor="dark1"/>
                                <w:sz w:val="16"/>
                              </w:rPr>
                              <w:t>人</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11.5</w:t>
                            </w:r>
                            <w:r>
                              <w:rPr>
                                <w:rFonts w:hint="eastAsia" w:ascii="ＭＳ ゴシック" w:hAnsi="ＭＳ ゴシック" w:eastAsia="ＭＳ ゴシック"/>
                                <w:b w:val="1"/>
                                <w:color w:val="000000" w:themeColor="dark1"/>
                                <w:sz w:val="16"/>
                              </w:rPr>
                              <w:t>％）</w:t>
                            </w:r>
                          </w:p>
                        </w:txbxContent>
                      </wps:txbx>
                      <wps:bodyPr vertOverflow="clip" horzOverflow="clip" wrap="square" rtlCol="0" anchor="ctr"/>
                    </wps:wsp>
                  </a:graphicData>
                </a:graphic>
              </wp:anchor>
            </w:drawing>
          </mc:Choice>
          <mc:Fallback>
            <w:pict>
              <v:roundrect id="角丸四角形 3" style="mso-wrap-distance-right:9pt;mso-wrap-distance-bottom:0pt;margin-top:1.2pt;mso-position-vertical-relative:text;mso-position-horizontal-relative:text;v-text-anchor:middle;position:absolute;height:44.15pt;mso-wrap-distance-top:0pt;width:80.150000000000006pt;mso-wrap-distance-left:9pt;margin-left:112.8pt;z-index:117;" o:spid="_x0000_s1167"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要介護１～５</w:t>
                      </w:r>
                    </w:p>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3</w:t>
                      </w:r>
                      <w:r>
                        <w:rPr>
                          <w:rFonts w:hint="default"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991</w:t>
                      </w:r>
                      <w:r>
                        <w:rPr>
                          <w:rFonts w:hint="eastAsia" w:ascii="ＭＳ ゴシック" w:hAnsi="ＭＳ ゴシック" w:eastAsia="ＭＳ ゴシック"/>
                          <w:b w:val="1"/>
                          <w:color w:val="000000" w:themeColor="dark1"/>
                          <w:sz w:val="16"/>
                        </w:rPr>
                        <w:t>人</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11.5</w:t>
                      </w:r>
                      <w:r>
                        <w:rPr>
                          <w:rFonts w:hint="eastAsia" w:ascii="ＭＳ ゴシック" w:hAnsi="ＭＳ ゴシック" w:eastAsia="ＭＳ ゴシック"/>
                          <w:b w:val="1"/>
                          <w:color w:val="000000" w:themeColor="dark1"/>
                          <w:sz w:val="16"/>
                        </w:rPr>
                        <w:t>％）</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16" behindDoc="0" locked="0" layoutInCell="1" hidden="0" allowOverlap="1">
                <wp:simplePos x="0" y="0"/>
                <wp:positionH relativeFrom="column">
                  <wp:posOffset>1439545</wp:posOffset>
                </wp:positionH>
                <wp:positionV relativeFrom="paragraph">
                  <wp:posOffset>64135</wp:posOffset>
                </wp:positionV>
                <wp:extent cx="971550" cy="431165"/>
                <wp:effectExtent l="635" t="635" r="29845" b="10795"/>
                <wp:wrapNone/>
                <wp:docPr id="1168" name="角丸四角形 3"/>
                <a:graphic xmlns:a="http://schemas.openxmlformats.org/drawingml/2006/main">
                  <a:graphicData uri="http://schemas.microsoft.com/office/word/2010/wordprocessingShape">
                    <wps:wsp>
                      <wps:cNvPr id="1168" name="角丸四角形 3"/>
                      <wps:cNvSpPr/>
                      <wps:spPr>
                        <a:xfrm>
                          <a:off x="0" y="0"/>
                          <a:ext cx="971550" cy="431165"/>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200" w:lineRule="exact"/>
                              <w:ind w:right="-163" w:rightChars="-68"/>
                              <w:jc w:val="both"/>
                              <w:rPr>
                                <w:rFonts w:hint="default"/>
                              </w:rPr>
                            </w:pPr>
                          </w:p>
                        </w:txbxContent>
                      </wps:txbx>
                      <wps:bodyPr vertOverflow="clip" horzOverflow="clip" wrap="square" rtlCol="0" anchor="t"/>
                    </wps:wsp>
                  </a:graphicData>
                </a:graphic>
              </wp:anchor>
            </w:drawing>
          </mc:Choice>
          <mc:Fallback>
            <w:pict>
              <v:roundrect id="角丸四角形 3" style="mso-wrap-distance-right:9pt;mso-wrap-distance-bottom:0pt;margin-top:5.05pt;mso-position-vertical-relative:text;mso-position-horizontal-relative:text;v-text-anchor:top;position:absolute;height:33.950000000000003pt;mso-wrap-distance-top:0pt;width:76.5pt;mso-wrap-distance-left:9pt;margin-left:113.35pt;z-index:116;" o:spid="_x0000_s1168" o:allowincell="t" o:allowoverlap="t" filled="t" fillcolor="#ffffff [3212]" stroked="t" strokecolor="#000000 [3213]" strokeweight="0.5pt" o:spt="2" arcsize="10923f">
                <v:fill/>
                <v:stroke linestyle="single" miterlimit="8" endcap="flat" dashstyle="solid" filltype="solid"/>
                <v:textbox style="layout-flow:horizontal;">
                  <w:txbxContent>
                    <w:p>
                      <w:pPr>
                        <w:pStyle w:val="0"/>
                        <w:spacing w:line="200" w:lineRule="exact"/>
                        <w:ind w:right="-163" w:rightChars="-68"/>
                        <w:jc w:val="both"/>
                        <w:rPr>
                          <w:rFonts w:hint="default"/>
                        </w:rPr>
                      </w:pPr>
                    </w:p>
                  </w:txbxContent>
                </v:textbox>
                <v:imagedata o:title=""/>
                <w10:wrap type="none" anchorx="text" anchory="text"/>
              </v:round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06" behindDoc="0" locked="0" layoutInCell="1" hidden="0" allowOverlap="1">
                <wp:simplePos x="0" y="0"/>
                <wp:positionH relativeFrom="column">
                  <wp:posOffset>2279015</wp:posOffset>
                </wp:positionH>
                <wp:positionV relativeFrom="paragraph">
                  <wp:posOffset>134620</wp:posOffset>
                </wp:positionV>
                <wp:extent cx="3332480" cy="37465"/>
                <wp:effectExtent l="635" t="635" r="29845" b="10795"/>
                <wp:wrapNone/>
                <wp:docPr id="1169" name="直線コネクタ 1024"/>
                <a:graphic xmlns:a="http://schemas.openxmlformats.org/drawingml/2006/main">
                  <a:graphicData uri="http://schemas.microsoft.com/office/word/2010/wordprocessingShape">
                    <wps:wsp>
                      <wps:cNvPr id="1169" name="直線コネクタ 1024"/>
                      <wps:cNvSpPr/>
                      <wps:spPr>
                        <a:xfrm>
                          <a:off x="0" y="0"/>
                          <a:ext cx="3332480" cy="37465"/>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24" style="mso-wrap-distance-top:0pt;mso-wrap-distance-right:9pt;mso-wrap-distance-bottom:0pt;mso-position-vertical-relative:text;mso-position-horizontal-relative:text;position:absolute;mso-wrap-distance-left:9pt;z-index:106;" o:spid="_x0000_s1169" o:allowincell="t" o:allowoverlap="t" filled="f" stroked="t" strokecolor="#4472c4 [3204]" strokeweight="1pt" o:spt="20" from="179.45pt,10.600000000000001pt" to="441.85pt,13.55pt">
                <v:fill/>
                <v:stroke linestyle="single" miterlimit="8" endcap="flat" dashstyle="shortdash" filltype="solid"/>
                <v:textbox style="layout-flow:horizontal;"/>
                <v:imagedata o:title=""/>
                <w10:wrap type="none" anchorx="text" anchory="text"/>
              </v:line>
            </w:pict>
          </mc:Fallback>
        </mc:AlternateContent>
      </w:r>
    </w:p>
    <w:p>
      <w:pPr>
        <w:pStyle w:val="0"/>
        <w:rPr>
          <w:rFonts w:hint="default"/>
        </w:rPr>
      </w:pPr>
      <w:r>
        <w:rPr>
          <w:rFonts w:hint="eastAsia"/>
        </w:rPr>
        <mc:AlternateContent>
          <mc:Choice Requires="wps">
            <w:drawing>
              <wp:anchor distT="0" distB="0" distL="114300" distR="114300" simplePos="0" relativeHeight="119" behindDoc="0" locked="0" layoutInCell="1" hidden="0" allowOverlap="1">
                <wp:simplePos x="0" y="0"/>
                <wp:positionH relativeFrom="column">
                  <wp:posOffset>1412240</wp:posOffset>
                </wp:positionH>
                <wp:positionV relativeFrom="paragraph">
                  <wp:posOffset>25400</wp:posOffset>
                </wp:positionV>
                <wp:extent cx="1036955" cy="818515"/>
                <wp:effectExtent l="635" t="635" r="635" b="635"/>
                <wp:wrapNone/>
                <wp:docPr id="1170" name="角丸四角形 3"/>
                <a:graphic xmlns:a="http://schemas.openxmlformats.org/drawingml/2006/main">
                  <a:graphicData uri="http://schemas.microsoft.com/office/word/2010/wordprocessingShape">
                    <wps:wsp>
                      <wps:cNvPr id="1170" name="角丸四角形 3"/>
                      <wps:cNvSpPr/>
                      <wps:spPr>
                        <a:xfrm>
                          <a:off x="0" y="0"/>
                          <a:ext cx="1036955" cy="81851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要支援１～２</w:t>
                            </w:r>
                          </w:p>
                          <w:p>
                            <w:pPr>
                              <w:pStyle w:val="0"/>
                              <w:spacing w:line="160" w:lineRule="exact"/>
                              <w:ind w:left="-142" w:leftChars="-59" w:right="-163" w:rightChars="-68" w:firstLine="161" w:firstLineChars="100"/>
                              <w:jc w:val="both"/>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1</w:t>
                            </w:r>
                            <w:r>
                              <w:rPr>
                                <w:rFonts w:hint="default" w:ascii="ＭＳ ゴシック" w:hAnsi="ＭＳ ゴシック" w:eastAsia="ＭＳ ゴシック"/>
                                <w:b w:val="1"/>
                                <w:color w:val="000000" w:themeColor="dark1"/>
                                <w:sz w:val="16"/>
                              </w:rPr>
                              <w:t>,4</w:t>
                            </w:r>
                            <w:r>
                              <w:rPr>
                                <w:rFonts w:hint="eastAsia" w:ascii="ＭＳ ゴシック" w:hAnsi="ＭＳ ゴシック" w:eastAsia="ＭＳ ゴシック"/>
                                <w:b w:val="1"/>
                                <w:color w:val="000000" w:themeColor="dark1"/>
                                <w:sz w:val="16"/>
                              </w:rPr>
                              <w:t>17</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4</w:t>
                            </w:r>
                            <w:r>
                              <w:rPr>
                                <w:rFonts w:hint="default"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1</w:t>
                            </w:r>
                            <w:r>
                              <w:rPr>
                                <w:rFonts w:hint="eastAsia" w:ascii="ＭＳ ゴシック" w:hAnsi="ＭＳ ゴシック" w:eastAsia="ＭＳ ゴシック"/>
                                <w:b w:val="1"/>
                                <w:color w:val="000000" w:themeColor="dark1"/>
                                <w:sz w:val="16"/>
                              </w:rPr>
                              <w:t>％）</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事業対象者</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371</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1.0</w:t>
                            </w:r>
                            <w:r>
                              <w:rPr>
                                <w:rFonts w:hint="eastAsia" w:ascii="ＭＳ ゴシック" w:hAnsi="ＭＳ ゴシック" w:eastAsia="ＭＳ ゴシック"/>
                                <w:b w:val="1"/>
                                <w:color w:val="000000" w:themeColor="dark1"/>
                                <w:sz w:val="16"/>
                              </w:rPr>
                              <w:t>％）</w:t>
                            </w:r>
                          </w:p>
                        </w:txbxContent>
                      </wps:txbx>
                      <wps:bodyPr vertOverflow="clip" horzOverflow="clip" wrap="square" rtlCol="0" anchor="t"/>
                    </wps:wsp>
                  </a:graphicData>
                </a:graphic>
              </wp:anchor>
            </w:drawing>
          </mc:Choice>
          <mc:Fallback>
            <w:pict>
              <v:roundrect id="角丸四角形 3" style="mso-wrap-distance-right:9pt;mso-wrap-distance-bottom:0pt;margin-top:2pt;mso-position-vertical-relative:text;mso-position-horizontal-relative:text;v-text-anchor:top;position:absolute;height:64.45pt;mso-wrap-distance-top:0pt;width:81.650000000000006pt;mso-wrap-distance-left:9pt;margin-left:111.2pt;z-index:119;" o:spid="_x0000_s1170"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b w:val="1"/>
                          <w:color w:val="000000" w:themeColor="dark1"/>
                          <w:sz w:val="16"/>
                        </w:rPr>
                      </w:pPr>
                      <w:r>
                        <w:rPr>
                          <w:rFonts w:hint="eastAsia" w:ascii="ＭＳ ゴシック" w:hAnsi="ＭＳ ゴシック" w:eastAsia="ＭＳ ゴシック"/>
                          <w:b w:val="1"/>
                          <w:color w:val="000000" w:themeColor="dark1"/>
                          <w:sz w:val="16"/>
                        </w:rPr>
                        <w:t>要支援１～２</w:t>
                      </w:r>
                    </w:p>
                    <w:p>
                      <w:pPr>
                        <w:pStyle w:val="0"/>
                        <w:spacing w:line="160" w:lineRule="exact"/>
                        <w:ind w:left="-142" w:leftChars="-59" w:right="-163" w:rightChars="-68" w:firstLine="161" w:firstLineChars="100"/>
                        <w:jc w:val="both"/>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1</w:t>
                      </w:r>
                      <w:r>
                        <w:rPr>
                          <w:rFonts w:hint="default" w:ascii="ＭＳ ゴシック" w:hAnsi="ＭＳ ゴシック" w:eastAsia="ＭＳ ゴシック"/>
                          <w:b w:val="1"/>
                          <w:color w:val="000000" w:themeColor="dark1"/>
                          <w:sz w:val="16"/>
                        </w:rPr>
                        <w:t>,4</w:t>
                      </w:r>
                      <w:r>
                        <w:rPr>
                          <w:rFonts w:hint="eastAsia" w:ascii="ＭＳ ゴシック" w:hAnsi="ＭＳ ゴシック" w:eastAsia="ＭＳ ゴシック"/>
                          <w:b w:val="1"/>
                          <w:color w:val="000000" w:themeColor="dark1"/>
                          <w:sz w:val="16"/>
                        </w:rPr>
                        <w:t>17</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4</w:t>
                      </w:r>
                      <w:r>
                        <w:rPr>
                          <w:rFonts w:hint="default" w:ascii="ＭＳ ゴシック" w:hAnsi="ＭＳ ゴシック" w:eastAsia="ＭＳ ゴシック"/>
                          <w:b w:val="1"/>
                          <w:color w:val="000000" w:themeColor="dark1"/>
                          <w:sz w:val="16"/>
                        </w:rPr>
                        <w:t>.</w:t>
                      </w:r>
                      <w:r>
                        <w:rPr>
                          <w:rFonts w:hint="eastAsia" w:ascii="ＭＳ ゴシック" w:hAnsi="ＭＳ ゴシック" w:eastAsia="ＭＳ ゴシック"/>
                          <w:b w:val="1"/>
                          <w:color w:val="000000" w:themeColor="dark1"/>
                          <w:sz w:val="16"/>
                        </w:rPr>
                        <w:t>1</w:t>
                      </w:r>
                      <w:r>
                        <w:rPr>
                          <w:rFonts w:hint="eastAsia" w:ascii="ＭＳ ゴシック" w:hAnsi="ＭＳ ゴシック" w:eastAsia="ＭＳ ゴシック"/>
                          <w:b w:val="1"/>
                          <w:color w:val="000000" w:themeColor="dark1"/>
                          <w:sz w:val="16"/>
                        </w:rPr>
                        <w:t>％）</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事業対象者</w:t>
                      </w:r>
                    </w:p>
                    <w:p>
                      <w:pPr>
                        <w:pStyle w:val="0"/>
                        <w:spacing w:line="160" w:lineRule="exact"/>
                        <w:ind w:left="-1" w:leftChars="-59" w:right="-163" w:rightChars="-68" w:hanging="141" w:hangingChars="88"/>
                        <w:jc w:val="center"/>
                        <w:rPr>
                          <w:rFonts w:hint="default" w:ascii="ＭＳ ゴシック" w:hAnsi="ＭＳ ゴシック" w:eastAsia="ＭＳ ゴシック"/>
                          <w:b w:val="1"/>
                          <w:kern w:val="0"/>
                          <w:sz w:val="14"/>
                        </w:rPr>
                      </w:pPr>
                      <w:r>
                        <w:rPr>
                          <w:rFonts w:hint="eastAsia" w:ascii="ＭＳ ゴシック" w:hAnsi="ＭＳ ゴシック" w:eastAsia="ＭＳ ゴシック"/>
                          <w:b w:val="1"/>
                          <w:color w:val="000000" w:themeColor="dark1"/>
                          <w:sz w:val="16"/>
                        </w:rPr>
                        <w:t>371</w:t>
                      </w:r>
                      <w:r>
                        <w:rPr>
                          <w:rFonts w:hint="eastAsia" w:ascii="ＭＳ ゴシック" w:hAnsi="ＭＳ ゴシック" w:eastAsia="ＭＳ ゴシック"/>
                          <w:b w:val="1"/>
                          <w:color w:val="000000" w:themeColor="dark1"/>
                          <w:sz w:val="16"/>
                        </w:rPr>
                        <w:t>人（</w:t>
                      </w:r>
                      <w:r>
                        <w:rPr>
                          <w:rFonts w:hint="eastAsia" w:ascii="ＭＳ ゴシック" w:hAnsi="ＭＳ ゴシック" w:eastAsia="ＭＳ ゴシック"/>
                          <w:b w:val="1"/>
                          <w:color w:val="000000" w:themeColor="dark1"/>
                          <w:sz w:val="16"/>
                        </w:rPr>
                        <w:t>1.0</w:t>
                      </w:r>
                      <w:r>
                        <w:rPr>
                          <w:rFonts w:hint="eastAsia" w:ascii="ＭＳ ゴシック" w:hAnsi="ＭＳ ゴシック" w:eastAsia="ＭＳ ゴシック"/>
                          <w:b w:val="1"/>
                          <w:color w:val="000000" w:themeColor="dark1"/>
                          <w:sz w:val="16"/>
                        </w:rPr>
                        <w:t>％）</w:t>
                      </w:r>
                    </w:p>
                  </w:txbxContent>
                </v:textbox>
                <v:imagedata o:title=""/>
                <w10:wrap type="none" anchorx="text" anchory="text"/>
              </v:roundrect>
            </w:pict>
          </mc:Fallback>
        </mc:AlternateContent>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07" behindDoc="0" locked="0" layoutInCell="1" hidden="0" allowOverlap="1">
                <wp:simplePos x="0" y="0"/>
                <wp:positionH relativeFrom="column">
                  <wp:posOffset>2656205</wp:posOffset>
                </wp:positionH>
                <wp:positionV relativeFrom="paragraph">
                  <wp:posOffset>3175</wp:posOffset>
                </wp:positionV>
                <wp:extent cx="1017905" cy="0"/>
                <wp:effectExtent l="0" t="635" r="29210" b="10795"/>
                <wp:wrapNone/>
                <wp:docPr id="1171" name="直線コネクタ 1025"/>
                <a:graphic xmlns:a="http://schemas.openxmlformats.org/drawingml/2006/main">
                  <a:graphicData uri="http://schemas.microsoft.com/office/word/2010/wordprocessingShape">
                    <wps:wsp>
                      <wps:cNvPr id="1171" name="直線コネクタ 1025"/>
                      <wps:cNvSpPr/>
                      <wps:spPr>
                        <a:xfrm>
                          <a:off x="0" y="0"/>
                          <a:ext cx="101790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25" style="mso-wrap-distance-top:0pt;mso-wrap-distance-right:9pt;mso-wrap-distance-bottom:0pt;mso-position-vertical-relative:text;mso-position-horizontal-relative:text;position:absolute;mso-wrap-distance-left:9pt;z-index:107;" o:spid="_x0000_s1171" o:allowincell="t" o:allowoverlap="t" filled="f" stroked="t" strokecolor="#4472c4 [3204]" strokeweight="1pt" o:spt="20" from="209.15pt,0.25pt" to="289.3pt,0.25pt">
                <v:fill/>
                <v:stroke linestyle="single" miterlimit="8" endcap="flat" dashstyle="shortdash" filltype="solid"/>
                <v:textbox style="layout-flow:horizontal;"/>
                <v:imagedata o:title=""/>
                <w10:wrap type="none" anchorx="text" anchory="text"/>
              </v:lin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08" behindDoc="0" locked="0" layoutInCell="1" hidden="0" allowOverlap="1">
                <wp:simplePos x="0" y="0"/>
                <wp:positionH relativeFrom="column">
                  <wp:posOffset>3401060</wp:posOffset>
                </wp:positionH>
                <wp:positionV relativeFrom="paragraph">
                  <wp:posOffset>201930</wp:posOffset>
                </wp:positionV>
                <wp:extent cx="2235200" cy="0"/>
                <wp:effectExtent l="0" t="635" r="28575" b="10795"/>
                <wp:wrapNone/>
                <wp:docPr id="1172" name="直線コネクタ 1033"/>
                <a:graphic xmlns:a="http://schemas.openxmlformats.org/drawingml/2006/main">
                  <a:graphicData uri="http://schemas.microsoft.com/office/word/2010/wordprocessingShape">
                    <wps:wsp>
                      <wps:cNvPr id="1172" name="直線コネクタ 1033"/>
                      <wps:cNvSpPr/>
                      <wps:spPr>
                        <a:xfrm>
                          <a:off x="0" y="0"/>
                          <a:ext cx="2235200"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33" style="mso-wrap-distance-top:0pt;mso-wrap-distance-right:9pt;mso-wrap-distance-bottom:0pt;mso-position-vertical-relative:text;mso-position-horizontal-relative:text;position:absolute;mso-wrap-distance-left:9pt;z-index:108;" o:spid="_x0000_s1172" o:allowincell="t" o:allowoverlap="t" filled="f" stroked="t" strokecolor="#4472c4 [3204]" strokeweight="1pt" o:spt="20" from="267.8pt,15.9pt" to="443.8pt,15.9pt">
                <v:fill/>
                <v:stroke linestyle="single" miterlimit="8" endcap="flat" dashstyle="shortdash" filltype="solid"/>
                <v:textbox style="layout-flow:horizontal;"/>
                <v:imagedata o:title=""/>
                <w10:wrap type="none" anchorx="text" anchory="text"/>
              </v:line>
            </w:pict>
          </mc:Fallback>
        </mc:AlternateContent>
      </w:r>
    </w:p>
    <w:p>
      <w:pPr>
        <w:pStyle w:val="5"/>
        <w:ind w:left="0" w:leftChars="0" w:firstLine="240" w:firstLineChars="100"/>
        <w:jc w:val="both"/>
        <w:rPr>
          <w:rFonts w:hint="default" w:ascii="ＭＳ ゴシック" w:hAnsi="ＭＳ ゴシック" w:eastAsia="ＭＳ ゴシック"/>
        </w:rPr>
      </w:pPr>
      <w:bookmarkStart w:id="72" w:name="_Toc512263428"/>
      <w:bookmarkEnd w:id="72"/>
      <w:bookmarkStart w:id="73" w:name="_Toc59007796"/>
      <w:r>
        <w:rPr>
          <w:rFonts w:hint="eastAsia" w:ascii="ＭＳ ゴシック" w:hAnsi="ＭＳ ゴシック" w:eastAsia="ＭＳ ゴシック"/>
        </w:rPr>
        <w:t>イ）外出機会や身体能力の状態に応じた対象別のアプローチ</w:t>
      </w:r>
      <w:bookmarkEnd w:id="73"/>
    </w:p>
    <w:p>
      <w:pPr>
        <w:pStyle w:val="0"/>
        <w:ind w:left="480" w:leftChars="100" w:hanging="240" w:hangingChars="100"/>
        <w:jc w:val="both"/>
        <w:rPr>
          <w:rFonts w:hint="default"/>
          <w:color w:val="000000" w:themeColor="text1"/>
        </w:rPr>
      </w:pPr>
      <w:r>
        <w:rPr>
          <w:rFonts w:hint="eastAsia"/>
          <w:color w:val="000000" w:themeColor="text1"/>
        </w:rPr>
        <w:t>○　</w:t>
      </w:r>
      <w:r>
        <w:rPr>
          <w:rFonts w:hint="eastAsia"/>
        </w:rPr>
        <w:t>外出機会</w:t>
      </w:r>
      <w:r>
        <w:rPr>
          <w:rFonts w:hint="eastAsia"/>
          <w:color w:val="000000" w:themeColor="text1"/>
        </w:rPr>
        <w:t>が多く、身体能力が高いかたには、地域のシニアクラブや地区福祉会、地域の通いの場やサークル活動などでの介護予防活動のリーダーとして活躍していただけるよう、養成・支援を行います。</w:t>
      </w:r>
    </w:p>
    <w:p>
      <w:pPr>
        <w:pStyle w:val="0"/>
        <w:ind w:left="480" w:leftChars="100" w:hanging="240" w:hangingChars="100"/>
        <w:jc w:val="both"/>
        <w:rPr>
          <w:rFonts w:hint="default"/>
          <w:color w:val="000000" w:themeColor="text1"/>
        </w:rPr>
      </w:pPr>
      <w:r>
        <w:rPr>
          <w:rFonts w:hint="eastAsia"/>
          <w:color w:val="000000" w:themeColor="text1"/>
        </w:rPr>
        <w:t>○　</w:t>
      </w:r>
      <w:r>
        <w:rPr>
          <w:rFonts w:hint="eastAsia"/>
        </w:rPr>
        <w:t>外出機会</w:t>
      </w:r>
      <w:r>
        <w:rPr>
          <w:rFonts w:hint="eastAsia"/>
          <w:color w:val="000000" w:themeColor="text1"/>
        </w:rPr>
        <w:t>は多いが、身体能力が低下しているかたには、自身の身体能力が改善できるように、シニアクラブやサークル活動等への参加を促すとともに、アンチエイジングセミナーや稲ふれあいセンターでの体操指導・健康増進室の活用等により、身体能力の改善を図ります。加えて、介護予防活動の担い手として活動してもらうことをめざします。</w:t>
      </w:r>
    </w:p>
    <w:p>
      <w:pPr>
        <w:pStyle w:val="0"/>
        <w:ind w:left="480" w:leftChars="100" w:hanging="240" w:hangingChars="100"/>
        <w:jc w:val="both"/>
        <w:rPr>
          <w:rFonts w:hint="default"/>
          <w:color w:val="000000" w:themeColor="text1"/>
        </w:rPr>
      </w:pPr>
      <w:r>
        <w:rPr>
          <w:rFonts w:hint="eastAsia"/>
          <w:color w:val="000000" w:themeColor="text1"/>
        </w:rPr>
        <w:t>○　</w:t>
      </w:r>
      <w:r>
        <w:rPr>
          <w:rFonts w:hint="eastAsia"/>
        </w:rPr>
        <w:t>外出機会</w:t>
      </w:r>
      <w:r>
        <w:rPr>
          <w:rFonts w:hint="eastAsia"/>
          <w:color w:val="000000" w:themeColor="text1"/>
        </w:rPr>
        <w:t>は少ないが、身体能力が高いかたには、介護予防のための外出・運動等の重要性について周知・啓発し、シニアクラブやサークル活動等への参加を促します。</w:t>
      </w:r>
    </w:p>
    <w:p>
      <w:pPr>
        <w:pStyle w:val="0"/>
        <w:ind w:left="480" w:leftChars="100" w:hanging="240" w:hangingChars="100"/>
        <w:jc w:val="both"/>
        <w:rPr>
          <w:rFonts w:hint="default"/>
        </w:rPr>
      </w:pPr>
      <w:r>
        <w:rPr>
          <w:rFonts w:hint="eastAsia"/>
        </w:rPr>
        <w:t>○　外出機会が少なく、身体能力も低下しているかたには、介護予防のための外出・運動等の重要性について周知・啓発するとともに、個別アプローチにより、生活指導や自主トレーニングの指導を行います。また、街かどデイハウス等の通いの場の利用を促すとともに、アンチエイジングセミナーや稲ふれあいセンターでの体操指導・健康増進室の活用等により、身体能力の改善を図ります。</w:t>
      </w:r>
    </w:p>
    <w:p>
      <w:pPr>
        <w:pStyle w:val="0"/>
        <w:ind w:left="480" w:leftChars="100" w:hanging="240" w:hangingChars="100"/>
        <w:rPr>
          <w:rFonts w:hint="default"/>
        </w:rPr>
      </w:pPr>
      <w:r>
        <w:rPr>
          <w:rFonts w:hint="eastAsia"/>
        </w:rPr>
        <w:t>○　図表</w:t>
      </w:r>
      <w:r>
        <w:rPr>
          <w:rFonts w:hint="eastAsia"/>
        </w:rPr>
        <w:t>81</w:t>
      </w:r>
      <w:r>
        <w:rPr>
          <w:rFonts w:hint="eastAsia"/>
        </w:rPr>
        <w:t>の状態別の分布割合をふまえ、外出頻度・身体能力及び加齢による身体能力の低下に着目した取組を引き続き進めます。</w:t>
      </w:r>
    </w:p>
    <w:p>
      <w:pPr>
        <w:pStyle w:val="0"/>
        <w:ind w:left="480" w:leftChars="100" w:hanging="240" w:hangingChars="100"/>
        <w:rPr>
          <w:rFonts w:hint="default"/>
        </w:rPr>
      </w:pPr>
      <w:r>
        <w:rPr>
          <w:rFonts w:hint="eastAsia"/>
        </w:rPr>
        <w:t>○　図表</w:t>
      </w:r>
      <w:r>
        <w:rPr>
          <w:rFonts w:hint="eastAsia"/>
        </w:rPr>
        <w:t>82</w:t>
      </w:r>
      <w:r>
        <w:rPr>
          <w:rFonts w:hint="eastAsia"/>
        </w:rPr>
        <w:t>の対象別の外出場所に着目し、対象別のアプローチに有効な場所の研究と活用を進めます。</w:t>
      </w: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rPr>
          <w:rFonts w:hint="default" w:ascii="ＭＳ ゴシック" w:hAnsi="ＭＳ ゴシック" w:eastAsia="ＭＳ ゴシック"/>
          <w:sz w:val="21"/>
        </w:rPr>
        <w:sectPr>
          <w:headerReference r:id="rId85" w:type="default"/>
          <w:pgSz w:w="11906" w:h="16838"/>
          <w:pgMar w:top="1440" w:right="1080" w:bottom="1440" w:left="1080" w:header="851" w:footer="454" w:gutter="0"/>
          <w:cols w:space="720"/>
          <w:textDirection w:val="lrTb"/>
          <w:docGrid w:type="lines" w:linePitch="360"/>
        </w:sectPr>
      </w:pPr>
    </w:p>
    <w:p>
      <w:pPr>
        <w:pStyle w:val="0"/>
        <w:jc w:val="center"/>
        <w:rPr>
          <w:rFonts w:hint="default" w:ascii="ＭＳ ゴシック" w:hAnsi="ＭＳ ゴシック" w:eastAsia="ＭＳ ゴシック"/>
          <w:sz w:val="21"/>
        </w:rPr>
      </w:pPr>
      <w:r>
        <w:rPr>
          <w:rFonts w:hint="eastAsia"/>
        </w:rPr>
        <mc:AlternateContent>
          <mc:Choice Requires="wps">
            <w:drawing>
              <wp:anchor distT="0" distB="0" distL="114300" distR="114300" simplePos="0" relativeHeight="147" behindDoc="0" locked="0" layoutInCell="1" hidden="0" allowOverlap="1">
                <wp:simplePos x="0" y="0"/>
                <wp:positionH relativeFrom="column">
                  <wp:posOffset>-5715</wp:posOffset>
                </wp:positionH>
                <wp:positionV relativeFrom="paragraph">
                  <wp:posOffset>185420</wp:posOffset>
                </wp:positionV>
                <wp:extent cx="4746625" cy="474345"/>
                <wp:effectExtent l="0" t="0" r="635" b="635"/>
                <wp:wrapNone/>
                <wp:docPr id="1173" name="正方形/長方形 2059"/>
                <a:graphic xmlns:a="http://schemas.openxmlformats.org/drawingml/2006/main">
                  <a:graphicData uri="http://schemas.microsoft.com/office/word/2010/wordprocessingShape">
                    <wps:wsp>
                      <wps:cNvPr id="1173" name="正方形/長方形 2059"/>
                      <wps:cNvSpPr/>
                      <wps:spPr>
                        <a:xfrm>
                          <a:off x="0" y="0"/>
                          <a:ext cx="4746625" cy="474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歳以上人口</w:t>
                            </w:r>
                            <w:r>
                              <w:rPr>
                                <w:rFonts w:hint="eastAsia" w:ascii="ＭＳ ゴシック" w:hAnsi="ＭＳ ゴシック" w:eastAsia="ＭＳ ゴシック"/>
                                <w:color w:val="000000" w:themeColor="text1"/>
                                <w:sz w:val="16"/>
                              </w:rPr>
                              <w:t>3</w:t>
                            </w:r>
                            <w:r>
                              <w:rPr>
                                <w:rFonts w:hint="default" w:ascii="ＭＳ ゴシック" w:hAnsi="ＭＳ ゴシック" w:eastAsia="ＭＳ ゴシック"/>
                                <w:color w:val="000000" w:themeColor="text1"/>
                                <w:sz w:val="16"/>
                              </w:rPr>
                              <w:t>4,850</w:t>
                            </w:r>
                            <w:r>
                              <w:rPr>
                                <w:rFonts w:hint="eastAsia" w:ascii="ＭＳ ゴシック" w:hAnsi="ＭＳ ゴシック" w:eastAsia="ＭＳ ゴシック"/>
                                <w:color w:val="000000" w:themeColor="text1"/>
                                <w:sz w:val="16"/>
                              </w:rPr>
                              <w:t>人、前期高齢者（</w:t>
                            </w:r>
                            <w:r>
                              <w:rPr>
                                <w:rFonts w:hint="eastAsia" w:ascii="ＭＳ ゴシック" w:hAnsi="ＭＳ ゴシック" w:eastAsia="ＭＳ ゴシック"/>
                                <w:color w:val="000000" w:themeColor="text1"/>
                                <w:sz w:val="16"/>
                              </w:rPr>
                              <w:t>65</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74</w:t>
                            </w:r>
                            <w:r>
                              <w:rPr>
                                <w:rFonts w:hint="eastAsia" w:ascii="ＭＳ ゴシック" w:hAnsi="ＭＳ ゴシック" w:eastAsia="ＭＳ ゴシック"/>
                                <w:color w:val="000000" w:themeColor="text1"/>
                                <w:sz w:val="16"/>
                              </w:rPr>
                              <w:t>歳）人口</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6,782</w:t>
                            </w:r>
                            <w:r>
                              <w:rPr>
                                <w:rFonts w:hint="eastAsia" w:ascii="ＭＳ ゴシック" w:hAnsi="ＭＳ ゴシック" w:eastAsia="ＭＳ ゴシック"/>
                                <w:color w:val="000000" w:themeColor="text1"/>
                                <w:sz w:val="16"/>
                              </w:rPr>
                              <w:t>人（令和２年</w:t>
                            </w:r>
                            <w:r>
                              <w:rPr>
                                <w:rFonts w:hint="eastAsia" w:ascii="ＭＳ ゴシック" w:hAnsi="ＭＳ ゴシック" w:eastAsia="ＭＳ ゴシック"/>
                                <w:color w:val="000000" w:themeColor="text1"/>
                                <w:sz w:val="16"/>
                              </w:rPr>
                              <w:t>(</w:t>
                            </w:r>
                            <w:r>
                              <w:rPr>
                                <w:rFonts w:hint="default" w:ascii="ＭＳ ゴシック" w:hAnsi="ＭＳ ゴシック" w:eastAsia="ＭＳ ゴシック"/>
                                <w:color w:val="000000" w:themeColor="text1"/>
                                <w:sz w:val="16"/>
                              </w:rPr>
                              <w:t>2020</w:t>
                            </w:r>
                            <w:r>
                              <w:rPr>
                                <w:rFonts w:hint="eastAsia" w:ascii="ＭＳ ゴシック" w:hAnsi="ＭＳ ゴシック" w:eastAsia="ＭＳ ゴシック"/>
                                <w:color w:val="000000" w:themeColor="text1"/>
                                <w:sz w:val="16"/>
                              </w:rPr>
                              <w:t>年</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３月末）</w:t>
                            </w:r>
                          </w:p>
                        </w:txbxContent>
                      </wps:txbx>
                      <wps:bodyPr rot="0" vertOverflow="overflow" horzOverflow="overflow" wrap="square" numCol="1" spcCol="0" rtlCol="0" fromWordArt="0" anchor="ctr" anchorCtr="0" forceAA="0" compatLnSpc="1"/>
                    </wps:wsp>
                  </a:graphicData>
                </a:graphic>
              </wp:anchor>
            </w:drawing>
          </mc:Choice>
          <mc:Fallback>
            <w:pict>
              <v:rect id="正方形/長方形 2059" style="mso-wrap-distance-right:9pt;mso-wrap-distance-bottom:0pt;margin-top:14.6pt;mso-position-vertical-relative:text;mso-position-horizontal-relative:text;v-text-anchor:middle;position:absolute;height:37.35pt;mso-wrap-distance-top:0pt;width:373.75pt;mso-wrap-distance-left:9pt;margin-left:-0.45pt;z-index:147;" o:spid="_x0000_s1173" o:allowincell="t" o:allowoverlap="t" filled="f" stroked="f" strokecolor="#32528f" strokeweight="1pt" o:spt="1">
                <v:fill/>
                <v:stroke linestyle="single" miterlimit="8" endcap="flat" dashstyle="solid"/>
                <v:textbox style="layout-flow:horizontal;">
                  <w:txbxContent>
                    <w:p>
                      <w:pPr>
                        <w:pStyle w:val="0"/>
                        <w:spacing w:line="16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歳以上人口</w:t>
                      </w:r>
                      <w:r>
                        <w:rPr>
                          <w:rFonts w:hint="eastAsia" w:ascii="ＭＳ ゴシック" w:hAnsi="ＭＳ ゴシック" w:eastAsia="ＭＳ ゴシック"/>
                          <w:color w:val="000000" w:themeColor="text1"/>
                          <w:sz w:val="16"/>
                        </w:rPr>
                        <w:t>3</w:t>
                      </w:r>
                      <w:r>
                        <w:rPr>
                          <w:rFonts w:hint="default" w:ascii="ＭＳ ゴシック" w:hAnsi="ＭＳ ゴシック" w:eastAsia="ＭＳ ゴシック"/>
                          <w:color w:val="000000" w:themeColor="text1"/>
                          <w:sz w:val="16"/>
                        </w:rPr>
                        <w:t>4,850</w:t>
                      </w:r>
                      <w:r>
                        <w:rPr>
                          <w:rFonts w:hint="eastAsia" w:ascii="ＭＳ ゴシック" w:hAnsi="ＭＳ ゴシック" w:eastAsia="ＭＳ ゴシック"/>
                          <w:color w:val="000000" w:themeColor="text1"/>
                          <w:sz w:val="16"/>
                        </w:rPr>
                        <w:t>人、前期高齢者（</w:t>
                      </w:r>
                      <w:r>
                        <w:rPr>
                          <w:rFonts w:hint="eastAsia" w:ascii="ＭＳ ゴシック" w:hAnsi="ＭＳ ゴシック" w:eastAsia="ＭＳ ゴシック"/>
                          <w:color w:val="000000" w:themeColor="text1"/>
                          <w:sz w:val="16"/>
                        </w:rPr>
                        <w:t>65</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74</w:t>
                      </w:r>
                      <w:r>
                        <w:rPr>
                          <w:rFonts w:hint="eastAsia" w:ascii="ＭＳ ゴシック" w:hAnsi="ＭＳ ゴシック" w:eastAsia="ＭＳ ゴシック"/>
                          <w:color w:val="000000" w:themeColor="text1"/>
                          <w:sz w:val="16"/>
                        </w:rPr>
                        <w:t>歳）人口</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6,782</w:t>
                      </w:r>
                      <w:r>
                        <w:rPr>
                          <w:rFonts w:hint="eastAsia" w:ascii="ＭＳ ゴシック" w:hAnsi="ＭＳ ゴシック" w:eastAsia="ＭＳ ゴシック"/>
                          <w:color w:val="000000" w:themeColor="text1"/>
                          <w:sz w:val="16"/>
                        </w:rPr>
                        <w:t>人（令和２年</w:t>
                      </w:r>
                      <w:r>
                        <w:rPr>
                          <w:rFonts w:hint="eastAsia" w:ascii="ＭＳ ゴシック" w:hAnsi="ＭＳ ゴシック" w:eastAsia="ＭＳ ゴシック"/>
                          <w:color w:val="000000" w:themeColor="text1"/>
                          <w:sz w:val="16"/>
                        </w:rPr>
                        <w:t>(</w:t>
                      </w:r>
                      <w:r>
                        <w:rPr>
                          <w:rFonts w:hint="default" w:ascii="ＭＳ ゴシック" w:hAnsi="ＭＳ ゴシック" w:eastAsia="ＭＳ ゴシック"/>
                          <w:color w:val="000000" w:themeColor="text1"/>
                          <w:sz w:val="16"/>
                        </w:rPr>
                        <w:t>2020</w:t>
                      </w:r>
                      <w:r>
                        <w:rPr>
                          <w:rFonts w:hint="eastAsia" w:ascii="ＭＳ ゴシック" w:hAnsi="ＭＳ ゴシック" w:eastAsia="ＭＳ ゴシック"/>
                          <w:color w:val="000000" w:themeColor="text1"/>
                          <w:sz w:val="16"/>
                        </w:rPr>
                        <w:t>年</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３月末）</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42" behindDoc="0" locked="0" layoutInCell="1" hidden="0" allowOverlap="1">
                <wp:simplePos x="0" y="0"/>
                <wp:positionH relativeFrom="column">
                  <wp:posOffset>3124200</wp:posOffset>
                </wp:positionH>
                <wp:positionV relativeFrom="paragraph">
                  <wp:posOffset>-240030</wp:posOffset>
                </wp:positionV>
                <wp:extent cx="0" cy="5386705"/>
                <wp:effectExtent l="635" t="84455" r="1270" b="85090"/>
                <wp:wrapNone/>
                <wp:docPr id="1174" name="直線矢印コネクタ 2054"/>
                <a:graphic xmlns:a="http://schemas.openxmlformats.org/drawingml/2006/main">
                  <a:graphicData uri="http://schemas.microsoft.com/office/word/2010/wordprocessingShape">
                    <wps:wsp>
                      <wps:cNvPr id="1174" name="直線矢印コネクタ 2054"/>
                      <wps:cNvCnPr/>
                      <wps:spPr>
                        <a:xfrm rot="16200000" flipH="1">
                          <a:off x="0" y="0"/>
                          <a:ext cx="0" cy="5386705"/>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054" style="flip:x;mso-wrap-distance-right:9pt;mso-wrap-distance-bottom:0pt;margin-top:-18.89pt;mso-position-vertical-relative:text;mso-position-horizontal-relative:text;position:absolute;height:424.15pt;mso-wrap-distance-top:0pt;width:0pt;mso-wrap-distance-left:9pt;margin-left:246pt;z-index:142;rotation:-270;" o:spid="_x0000_s1174" o:allowincell="t" o:allowoverlap="t" filled="f" stroked="t" strokecolor="#4472c4 [3204]" strokeweight="3pt" o:spt="32" type="#_x0000_t32">
                <v:fill/>
                <v:stroke linestyle="single" miterlimit="8" endcap="flat" dashstyle="solid" filltype="solid" startarrow="open" startarrowwidth="medium" startarrowlength="medium" endarrow="open" endarrowwidth="medium" endarrowlength="medium"/>
                <v:imagedata o:title=""/>
                <w10:wrap type="none" anchorx="text" anchory="text"/>
              </v:shape>
            </w:pict>
          </mc:Fallback>
        </mc:AlternateContent>
      </w:r>
      <w:r>
        <w:rPr>
          <w:rFonts w:hint="eastAsia"/>
        </w:rPr>
        <mc:AlternateContent>
          <mc:Choice Requires="wps">
            <w:drawing>
              <wp:anchor distT="0" distB="0" distL="114300" distR="114300" simplePos="0" relativeHeight="131" behindDoc="0" locked="0" layoutInCell="1" hidden="0" allowOverlap="1">
                <wp:simplePos x="0" y="0"/>
                <wp:positionH relativeFrom="margin">
                  <wp:posOffset>79375</wp:posOffset>
                </wp:positionH>
                <wp:positionV relativeFrom="paragraph">
                  <wp:posOffset>174625</wp:posOffset>
                </wp:positionV>
                <wp:extent cx="6348730" cy="4225290"/>
                <wp:effectExtent l="635" t="635" r="29845" b="10795"/>
                <wp:wrapNone/>
                <wp:docPr id="1175" name="正方形/長方形 23"/>
                <a:graphic xmlns:a="http://schemas.openxmlformats.org/drawingml/2006/main">
                  <a:graphicData uri="http://schemas.microsoft.com/office/word/2010/wordprocessingShape">
                    <wps:wsp>
                      <wps:cNvPr id="1175" name="正方形/長方形 23"/>
                      <wps:cNvSpPr/>
                      <wps:spPr>
                        <a:xfrm>
                          <a:off x="0" y="0"/>
                          <a:ext cx="6348730" cy="4225290"/>
                        </a:xfrm>
                        <a:custGeom>
                          <a:avLst/>
                          <a:gdLst>
                            <a:gd name="connsiteX0" fmla="*/ 0 w 6090249"/>
                            <a:gd name="connsiteY0" fmla="*/ 0 h 4002657"/>
                            <a:gd name="connsiteX1" fmla="*/ 6090249 w 6090249"/>
                            <a:gd name="connsiteY1" fmla="*/ 0 h 4002657"/>
                            <a:gd name="connsiteX2" fmla="*/ 6090249 w 6090249"/>
                            <a:gd name="connsiteY2" fmla="*/ 4002657 h 4002657"/>
                            <a:gd name="connsiteX3" fmla="*/ 0 w 6090249"/>
                            <a:gd name="connsiteY3" fmla="*/ 4002657 h 4002657"/>
                            <a:gd name="connsiteX4" fmla="*/ 0 w 6090249"/>
                            <a:gd name="connsiteY4" fmla="*/ 0 h 4002657"/>
                            <a:gd name="connsiteX0" fmla="*/ 0 w 6090249"/>
                            <a:gd name="connsiteY0" fmla="*/ 0 h 4002657"/>
                            <a:gd name="connsiteX1" fmla="*/ 6090249 w 6090249"/>
                            <a:gd name="connsiteY1" fmla="*/ 0 h 4002657"/>
                            <a:gd name="connsiteX2" fmla="*/ 6088953 w 6090249"/>
                            <a:gd name="connsiteY2" fmla="*/ 1009540 h 4002657"/>
                            <a:gd name="connsiteX3" fmla="*/ 6090249 w 6090249"/>
                            <a:gd name="connsiteY3" fmla="*/ 4002657 h 4002657"/>
                            <a:gd name="connsiteX4" fmla="*/ 0 w 6090249"/>
                            <a:gd name="connsiteY4" fmla="*/ 4002657 h 4002657"/>
                            <a:gd name="connsiteX5" fmla="*/ 0 w 6090249"/>
                            <a:gd name="connsiteY5" fmla="*/ 0 h 4002657"/>
                            <a:gd name="connsiteX0" fmla="*/ 0 w 6090249"/>
                            <a:gd name="connsiteY0" fmla="*/ 0 h 4002657"/>
                            <a:gd name="connsiteX1" fmla="*/ 4054415 w 6090249"/>
                            <a:gd name="connsiteY1" fmla="*/ 0 h 4002657"/>
                            <a:gd name="connsiteX2" fmla="*/ 6090249 w 6090249"/>
                            <a:gd name="connsiteY2" fmla="*/ 0 h 4002657"/>
                            <a:gd name="connsiteX3" fmla="*/ 6088953 w 6090249"/>
                            <a:gd name="connsiteY3" fmla="*/ 1009540 h 4002657"/>
                            <a:gd name="connsiteX4" fmla="*/ 6090249 w 6090249"/>
                            <a:gd name="connsiteY4" fmla="*/ 4002657 h 4002657"/>
                            <a:gd name="connsiteX5" fmla="*/ 0 w 6090249"/>
                            <a:gd name="connsiteY5" fmla="*/ 4002657 h 4002657"/>
                            <a:gd name="connsiteX6" fmla="*/ 0 w 6090249"/>
                            <a:gd name="connsiteY6" fmla="*/ 0 h 4002657"/>
                            <a:gd name="connsiteX0" fmla="*/ 0 w 6090249"/>
                            <a:gd name="connsiteY0" fmla="*/ 0 h 4002657"/>
                            <a:gd name="connsiteX1" fmla="*/ 4054415 w 6090249"/>
                            <a:gd name="connsiteY1" fmla="*/ 0 h 4002657"/>
                            <a:gd name="connsiteX2" fmla="*/ 5233209 w 6090249"/>
                            <a:gd name="connsiteY2" fmla="*/ 0 h 4002657"/>
                            <a:gd name="connsiteX3" fmla="*/ 6090249 w 6090249"/>
                            <a:gd name="connsiteY3" fmla="*/ 0 h 4002657"/>
                            <a:gd name="connsiteX4" fmla="*/ 6088953 w 6090249"/>
                            <a:gd name="connsiteY4" fmla="*/ 1009540 h 4002657"/>
                            <a:gd name="connsiteX5" fmla="*/ 6090249 w 6090249"/>
                            <a:gd name="connsiteY5" fmla="*/ 4002657 h 4002657"/>
                            <a:gd name="connsiteX6" fmla="*/ 0 w 6090249"/>
                            <a:gd name="connsiteY6" fmla="*/ 4002657 h 4002657"/>
                            <a:gd name="connsiteX7" fmla="*/ 0 w 6090249"/>
                            <a:gd name="connsiteY7" fmla="*/ 0 h 4002657"/>
                            <a:gd name="connsiteX0" fmla="*/ 0 w 6090249"/>
                            <a:gd name="connsiteY0" fmla="*/ 0 h 4002657"/>
                            <a:gd name="connsiteX1" fmla="*/ 4054415 w 6090249"/>
                            <a:gd name="connsiteY1" fmla="*/ 0 h 4002657"/>
                            <a:gd name="connsiteX2" fmla="*/ 5233209 w 6090249"/>
                            <a:gd name="connsiteY2" fmla="*/ 0 h 4002657"/>
                            <a:gd name="connsiteX3" fmla="*/ 6090249 w 6090249"/>
                            <a:gd name="connsiteY3" fmla="*/ 0 h 4002657"/>
                            <a:gd name="connsiteX4" fmla="*/ 6089552 w 6090249"/>
                            <a:gd name="connsiteY4" fmla="*/ 729452 h 4002657"/>
                            <a:gd name="connsiteX5" fmla="*/ 6088953 w 6090249"/>
                            <a:gd name="connsiteY5" fmla="*/ 1009540 h 4002657"/>
                            <a:gd name="connsiteX6" fmla="*/ 6090249 w 6090249"/>
                            <a:gd name="connsiteY6" fmla="*/ 4002657 h 4002657"/>
                            <a:gd name="connsiteX7" fmla="*/ 0 w 6090249"/>
                            <a:gd name="connsiteY7" fmla="*/ 4002657 h 4002657"/>
                            <a:gd name="connsiteX8" fmla="*/ 0 w 6090249"/>
                            <a:gd name="connsiteY8" fmla="*/ 0 h 4002657"/>
                            <a:gd name="connsiteX0" fmla="*/ 0 w 6090249"/>
                            <a:gd name="connsiteY0" fmla="*/ 401726 h 4404383"/>
                            <a:gd name="connsiteX1" fmla="*/ 4054415 w 6090249"/>
                            <a:gd name="connsiteY1" fmla="*/ 401726 h 4404383"/>
                            <a:gd name="connsiteX2" fmla="*/ 5973259 w 6090249"/>
                            <a:gd name="connsiteY2" fmla="*/ 0 h 4404383"/>
                            <a:gd name="connsiteX3" fmla="*/ 6090249 w 6090249"/>
                            <a:gd name="connsiteY3" fmla="*/ 401726 h 4404383"/>
                            <a:gd name="connsiteX4" fmla="*/ 6089552 w 6090249"/>
                            <a:gd name="connsiteY4" fmla="*/ 1131178 h 4404383"/>
                            <a:gd name="connsiteX5" fmla="*/ 6088953 w 6090249"/>
                            <a:gd name="connsiteY5" fmla="*/ 1411266 h 4404383"/>
                            <a:gd name="connsiteX6" fmla="*/ 6090249 w 6090249"/>
                            <a:gd name="connsiteY6" fmla="*/ 4404383 h 4404383"/>
                            <a:gd name="connsiteX7" fmla="*/ 0 w 6090249"/>
                            <a:gd name="connsiteY7" fmla="*/ 4404383 h 4404383"/>
                            <a:gd name="connsiteX8" fmla="*/ 0 w 6090249"/>
                            <a:gd name="connsiteY8" fmla="*/ 401726 h 4404383"/>
                            <a:gd name="connsiteX0" fmla="*/ 0 w 6227687"/>
                            <a:gd name="connsiteY0" fmla="*/ 401726 h 4404383"/>
                            <a:gd name="connsiteX1" fmla="*/ 4054415 w 6227687"/>
                            <a:gd name="connsiteY1" fmla="*/ 401726 h 4404383"/>
                            <a:gd name="connsiteX2" fmla="*/ 5973259 w 6227687"/>
                            <a:gd name="connsiteY2" fmla="*/ 0 h 4404383"/>
                            <a:gd name="connsiteX3" fmla="*/ 6227687 w 6227687"/>
                            <a:gd name="connsiteY3" fmla="*/ 0 h 4404383"/>
                            <a:gd name="connsiteX4" fmla="*/ 6089552 w 6227687"/>
                            <a:gd name="connsiteY4" fmla="*/ 1131178 h 4404383"/>
                            <a:gd name="connsiteX5" fmla="*/ 6088953 w 6227687"/>
                            <a:gd name="connsiteY5" fmla="*/ 1411266 h 4404383"/>
                            <a:gd name="connsiteX6" fmla="*/ 6090249 w 6227687"/>
                            <a:gd name="connsiteY6" fmla="*/ 4404383 h 4404383"/>
                            <a:gd name="connsiteX7" fmla="*/ 0 w 6227687"/>
                            <a:gd name="connsiteY7" fmla="*/ 4404383 h 4404383"/>
                            <a:gd name="connsiteX8" fmla="*/ 0 w 6227687"/>
                            <a:gd name="connsiteY8" fmla="*/ 401726 h 4404383"/>
                            <a:gd name="connsiteX0" fmla="*/ 0 w 6227753"/>
                            <a:gd name="connsiteY0" fmla="*/ 401726 h 4404383"/>
                            <a:gd name="connsiteX1" fmla="*/ 4054415 w 6227753"/>
                            <a:gd name="connsiteY1" fmla="*/ 401726 h 4404383"/>
                            <a:gd name="connsiteX2" fmla="*/ 5973259 w 6227753"/>
                            <a:gd name="connsiteY2" fmla="*/ 0 h 4404383"/>
                            <a:gd name="connsiteX3" fmla="*/ 6227687 w 6227753"/>
                            <a:gd name="connsiteY3" fmla="*/ 0 h 4404383"/>
                            <a:gd name="connsiteX4" fmla="*/ 6227687 w 6227753"/>
                            <a:gd name="connsiteY4" fmla="*/ 1088887 h 4404383"/>
                            <a:gd name="connsiteX5" fmla="*/ 6088953 w 6227753"/>
                            <a:gd name="connsiteY5" fmla="*/ 1411266 h 4404383"/>
                            <a:gd name="connsiteX6" fmla="*/ 6090249 w 6227753"/>
                            <a:gd name="connsiteY6" fmla="*/ 4404383 h 4404383"/>
                            <a:gd name="connsiteX7" fmla="*/ 0 w 6227753"/>
                            <a:gd name="connsiteY7" fmla="*/ 4404383 h 4404383"/>
                            <a:gd name="connsiteX8" fmla="*/ 0 w 6227753"/>
                            <a:gd name="connsiteY8" fmla="*/ 401726 h 4404383"/>
                            <a:gd name="connsiteX0" fmla="*/ 0 w 6269977"/>
                            <a:gd name="connsiteY0" fmla="*/ 401726 h 4404383"/>
                            <a:gd name="connsiteX1" fmla="*/ 4054415 w 6269977"/>
                            <a:gd name="connsiteY1" fmla="*/ 401726 h 4404383"/>
                            <a:gd name="connsiteX2" fmla="*/ 5973259 w 6269977"/>
                            <a:gd name="connsiteY2" fmla="*/ 0 h 4404383"/>
                            <a:gd name="connsiteX3" fmla="*/ 6227687 w 6269977"/>
                            <a:gd name="connsiteY3" fmla="*/ 0 h 4404383"/>
                            <a:gd name="connsiteX4" fmla="*/ 6269977 w 6269977"/>
                            <a:gd name="connsiteY4" fmla="*/ 1099459 h 4404383"/>
                            <a:gd name="connsiteX5" fmla="*/ 6088953 w 6269977"/>
                            <a:gd name="connsiteY5" fmla="*/ 1411266 h 4404383"/>
                            <a:gd name="connsiteX6" fmla="*/ 6090249 w 6269977"/>
                            <a:gd name="connsiteY6" fmla="*/ 4404383 h 4404383"/>
                            <a:gd name="connsiteX7" fmla="*/ 0 w 6269977"/>
                            <a:gd name="connsiteY7" fmla="*/ 4404383 h 4404383"/>
                            <a:gd name="connsiteX8" fmla="*/ 0 w 6269977"/>
                            <a:gd name="connsiteY8" fmla="*/ 401726 h 4404383"/>
                            <a:gd name="connsiteX0" fmla="*/ 0 w 6270043"/>
                            <a:gd name="connsiteY0" fmla="*/ 401726 h 4404383"/>
                            <a:gd name="connsiteX1" fmla="*/ 4054415 w 6270043"/>
                            <a:gd name="connsiteY1" fmla="*/ 401726 h 4404383"/>
                            <a:gd name="connsiteX2" fmla="*/ 5973259 w 6270043"/>
                            <a:gd name="connsiteY2" fmla="*/ 0 h 4404383"/>
                            <a:gd name="connsiteX3" fmla="*/ 6269977 w 6270043"/>
                            <a:gd name="connsiteY3" fmla="*/ 0 h 4404383"/>
                            <a:gd name="connsiteX4" fmla="*/ 6269977 w 6270043"/>
                            <a:gd name="connsiteY4" fmla="*/ 1099459 h 4404383"/>
                            <a:gd name="connsiteX5" fmla="*/ 6088953 w 6270043"/>
                            <a:gd name="connsiteY5" fmla="*/ 1411266 h 4404383"/>
                            <a:gd name="connsiteX6" fmla="*/ 6090249 w 6270043"/>
                            <a:gd name="connsiteY6" fmla="*/ 4404383 h 4404383"/>
                            <a:gd name="connsiteX7" fmla="*/ 0 w 6270043"/>
                            <a:gd name="connsiteY7" fmla="*/ 4404383 h 4404383"/>
                            <a:gd name="connsiteX8" fmla="*/ 0 w 6270043"/>
                            <a:gd name="connsiteY8" fmla="*/ 401726 h 4404383"/>
                            <a:gd name="connsiteX0" fmla="*/ 0 w 6311323"/>
                            <a:gd name="connsiteY0" fmla="*/ 401726 h 4404383"/>
                            <a:gd name="connsiteX1" fmla="*/ 4054415 w 6311323"/>
                            <a:gd name="connsiteY1" fmla="*/ 401726 h 4404383"/>
                            <a:gd name="connsiteX2" fmla="*/ 5973259 w 6311323"/>
                            <a:gd name="connsiteY2" fmla="*/ 0 h 4404383"/>
                            <a:gd name="connsiteX3" fmla="*/ 6269977 w 6311323"/>
                            <a:gd name="connsiteY3" fmla="*/ 0 h 4404383"/>
                            <a:gd name="connsiteX4" fmla="*/ 6311323 w 6311323"/>
                            <a:gd name="connsiteY4" fmla="*/ 1093108 h 4404383"/>
                            <a:gd name="connsiteX5" fmla="*/ 6088953 w 6311323"/>
                            <a:gd name="connsiteY5" fmla="*/ 1411266 h 4404383"/>
                            <a:gd name="connsiteX6" fmla="*/ 6090249 w 6311323"/>
                            <a:gd name="connsiteY6" fmla="*/ 4404383 h 4404383"/>
                            <a:gd name="connsiteX7" fmla="*/ 0 w 6311323"/>
                            <a:gd name="connsiteY7" fmla="*/ 4404383 h 4404383"/>
                            <a:gd name="connsiteX8" fmla="*/ 0 w 6311323"/>
                            <a:gd name="connsiteY8" fmla="*/ 401726 h 4404383"/>
                            <a:gd name="connsiteX0" fmla="*/ 0 w 6311389"/>
                            <a:gd name="connsiteY0" fmla="*/ 401726 h 4404383"/>
                            <a:gd name="connsiteX1" fmla="*/ 4054415 w 6311389"/>
                            <a:gd name="connsiteY1" fmla="*/ 401726 h 4404383"/>
                            <a:gd name="connsiteX2" fmla="*/ 5973259 w 6311389"/>
                            <a:gd name="connsiteY2" fmla="*/ 0 h 4404383"/>
                            <a:gd name="connsiteX3" fmla="*/ 6311323 w 6311389"/>
                            <a:gd name="connsiteY3" fmla="*/ 0 h 4404383"/>
                            <a:gd name="connsiteX4" fmla="*/ 6311323 w 6311389"/>
                            <a:gd name="connsiteY4" fmla="*/ 1093108 h 4404383"/>
                            <a:gd name="connsiteX5" fmla="*/ 6088953 w 6311389"/>
                            <a:gd name="connsiteY5" fmla="*/ 1411266 h 4404383"/>
                            <a:gd name="connsiteX6" fmla="*/ 6090249 w 6311389"/>
                            <a:gd name="connsiteY6" fmla="*/ 4404383 h 4404383"/>
                            <a:gd name="connsiteX7" fmla="*/ 0 w 6311389"/>
                            <a:gd name="connsiteY7" fmla="*/ 4404383 h 4404383"/>
                            <a:gd name="connsiteX8" fmla="*/ 0 w 6311389"/>
                            <a:gd name="connsiteY8" fmla="*/ 401726 h 4404383"/>
                            <a:gd name="connsiteX0" fmla="*/ 0 w 6311398"/>
                            <a:gd name="connsiteY0" fmla="*/ 401726 h 4404383"/>
                            <a:gd name="connsiteX1" fmla="*/ 4054415 w 6311398"/>
                            <a:gd name="connsiteY1" fmla="*/ 401726 h 4404383"/>
                            <a:gd name="connsiteX2" fmla="*/ 5973259 w 6311398"/>
                            <a:gd name="connsiteY2" fmla="*/ 0 h 4404383"/>
                            <a:gd name="connsiteX3" fmla="*/ 6311389 w 6311398"/>
                            <a:gd name="connsiteY3" fmla="*/ 0 h 4404383"/>
                            <a:gd name="connsiteX4" fmla="*/ 6311323 w 6311398"/>
                            <a:gd name="connsiteY4" fmla="*/ 1093108 h 4404383"/>
                            <a:gd name="connsiteX5" fmla="*/ 6088953 w 6311398"/>
                            <a:gd name="connsiteY5" fmla="*/ 1411266 h 4404383"/>
                            <a:gd name="connsiteX6" fmla="*/ 6090249 w 6311398"/>
                            <a:gd name="connsiteY6" fmla="*/ 4404383 h 4404383"/>
                            <a:gd name="connsiteX7" fmla="*/ 0 w 6311398"/>
                            <a:gd name="connsiteY7" fmla="*/ 4404383 h 4404383"/>
                            <a:gd name="connsiteX8" fmla="*/ 0 w 6311398"/>
                            <a:gd name="connsiteY8" fmla="*/ 401726 h 4404383"/>
                            <a:gd name="connsiteX0" fmla="*/ 0 w 6349429"/>
                            <a:gd name="connsiteY0" fmla="*/ 401726 h 4404383"/>
                            <a:gd name="connsiteX1" fmla="*/ 4054415 w 6349429"/>
                            <a:gd name="connsiteY1" fmla="*/ 401726 h 4404383"/>
                            <a:gd name="connsiteX2" fmla="*/ 5973259 w 6349429"/>
                            <a:gd name="connsiteY2" fmla="*/ 0 h 4404383"/>
                            <a:gd name="connsiteX3" fmla="*/ 6311389 w 6349429"/>
                            <a:gd name="connsiteY3" fmla="*/ 0 h 4404383"/>
                            <a:gd name="connsiteX4" fmla="*/ 6349428 w 6349429"/>
                            <a:gd name="connsiteY4" fmla="*/ 1061354 h 4404383"/>
                            <a:gd name="connsiteX5" fmla="*/ 6088953 w 6349429"/>
                            <a:gd name="connsiteY5" fmla="*/ 1411266 h 4404383"/>
                            <a:gd name="connsiteX6" fmla="*/ 6090249 w 6349429"/>
                            <a:gd name="connsiteY6" fmla="*/ 4404383 h 4404383"/>
                            <a:gd name="connsiteX7" fmla="*/ 0 w 6349429"/>
                            <a:gd name="connsiteY7" fmla="*/ 4404383 h 4404383"/>
                            <a:gd name="connsiteX8" fmla="*/ 0 w 6349429"/>
                            <a:gd name="connsiteY8" fmla="*/ 401726 h 4404383"/>
                            <a:gd name="connsiteX0" fmla="*/ 0 w 6349495"/>
                            <a:gd name="connsiteY0" fmla="*/ 401726 h 4404383"/>
                            <a:gd name="connsiteX1" fmla="*/ 4054415 w 6349495"/>
                            <a:gd name="connsiteY1" fmla="*/ 401726 h 4404383"/>
                            <a:gd name="connsiteX2" fmla="*/ 5973259 w 6349495"/>
                            <a:gd name="connsiteY2" fmla="*/ 0 h 4404383"/>
                            <a:gd name="connsiteX3" fmla="*/ 6349429 w 6349495"/>
                            <a:gd name="connsiteY3" fmla="*/ 0 h 4404383"/>
                            <a:gd name="connsiteX4" fmla="*/ 6349428 w 6349495"/>
                            <a:gd name="connsiteY4" fmla="*/ 1061354 h 4404383"/>
                            <a:gd name="connsiteX5" fmla="*/ 6088953 w 6349495"/>
                            <a:gd name="connsiteY5" fmla="*/ 1411266 h 4404383"/>
                            <a:gd name="connsiteX6" fmla="*/ 6090249 w 6349495"/>
                            <a:gd name="connsiteY6" fmla="*/ 4404383 h 4404383"/>
                            <a:gd name="connsiteX7" fmla="*/ 0 w 6349495"/>
                            <a:gd name="connsiteY7" fmla="*/ 4404383 h 4404383"/>
                            <a:gd name="connsiteX8" fmla="*/ 0 w 6349495"/>
                            <a:gd name="connsiteY8" fmla="*/ 401726 h 4404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49495" h="4404383">
                              <a:moveTo>
                                <a:pt x="0" y="401726"/>
                              </a:moveTo>
                              <a:lnTo>
                                <a:pt x="4054415" y="401726"/>
                              </a:lnTo>
                              <a:lnTo>
                                <a:pt x="5973259" y="0"/>
                              </a:lnTo>
                              <a:lnTo>
                                <a:pt x="6349429" y="0"/>
                              </a:lnTo>
                              <a:cubicBezTo>
                                <a:pt x="6349197" y="243151"/>
                                <a:pt x="6349660" y="818203"/>
                                <a:pt x="6349428" y="1061354"/>
                              </a:cubicBezTo>
                              <a:cubicBezTo>
                                <a:pt x="6349228" y="1154717"/>
                                <a:pt x="6089153" y="1317903"/>
                                <a:pt x="6088953" y="1411266"/>
                              </a:cubicBezTo>
                              <a:lnTo>
                                <a:pt x="6090249" y="4404383"/>
                              </a:lnTo>
                              <a:lnTo>
                                <a:pt x="0" y="4404383"/>
                              </a:lnTo>
                              <a:lnTo>
                                <a:pt x="0" y="401726"/>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正方形/長方形 23" style="mso-wrap-distance-right:9pt;mso-wrap-distance-bottom:0pt;margin-top:13.75pt;mso-position-vertical-relative:text;mso-position-horizontal-relative:margin;position:absolute;height:332.7pt;mso-wrap-distance-top:0pt;width:499.9pt;mso-wrap-distance-left:9pt;margin-left:6.25pt;z-index:131;" o:spid="_x0000_s1175" o:allowincell="t" o:allowoverlap="t" filled="f" stroked="t" strokecolor="#000000 [3213]" strokeweight="1.5pt" o:spt="100" path="m0,1970l0,1970l13792,1970l20320,0l21600,0c21599,1192,21601,4013,21600,5205c21599,5663,20714,6463,20714,6921l20718,21600l0,21600l0,1970xe">
                <v:path textboxrect="0,0,21600,21600" arrowok="true" o:connecttype="custom" o:connectlocs="0,0;21600,0;21600,21600;0,21600;0,0;0,0;0,0;0,0;0,0" o:connectangles="0,0,0,0,0,0,0,0,0"/>
                <v:fill/>
                <v:stroke linestyle="single" miterlimit="8" endcap="flat" dashstyle="solid" filltype="solid"/>
                <v:textbox style="layout-flow:horizontal;"/>
                <v:imagedata o:title=""/>
                <w10:wrap type="none" anchorx="margin" anchory="text"/>
              </v:shape>
            </w:pict>
          </mc:Fallback>
        </mc:AlternateContent>
      </w:r>
      <w:r>
        <w:rPr>
          <w:rFonts w:hint="eastAsia"/>
        </w:rPr>
        <mc:AlternateContent>
          <mc:Choice Requires="wps">
            <w:drawing>
              <wp:anchor distT="0" distB="0" distL="114300" distR="114300" simplePos="0" relativeHeight="150" behindDoc="0" locked="0" layoutInCell="1" hidden="0" allowOverlap="1">
                <wp:simplePos x="0" y="0"/>
                <wp:positionH relativeFrom="column">
                  <wp:posOffset>6077585</wp:posOffset>
                </wp:positionH>
                <wp:positionV relativeFrom="paragraph">
                  <wp:posOffset>202565</wp:posOffset>
                </wp:positionV>
                <wp:extent cx="422275" cy="1117600"/>
                <wp:effectExtent l="0" t="0" r="635" b="635"/>
                <wp:wrapNone/>
                <wp:docPr id="1176" name="正方形/長方形 2062"/>
                <a:graphic xmlns:a="http://schemas.openxmlformats.org/drawingml/2006/main">
                  <a:graphicData uri="http://schemas.microsoft.com/office/word/2010/wordprocessingShape">
                    <wps:wsp>
                      <wps:cNvPr id="1176" name="正方形/長方形 2062"/>
                      <wps:cNvSpPr/>
                      <wps:spPr>
                        <a:xfrm>
                          <a:off x="0" y="0"/>
                          <a:ext cx="422275" cy="111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要支援者・要介護認定者</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事業対象者</w:t>
                            </w:r>
                          </w:p>
                        </w:txbxContent>
                      </wps:txbx>
                      <wps:bodyPr rot="0" vertOverflow="overflow" horzOverflow="overflow" vert="eaVert" wrap="square" numCol="1" spcCol="0" rtlCol="0" fromWordArt="0" anchor="t" anchorCtr="0" forceAA="0" compatLnSpc="1"/>
                    </wps:wsp>
                  </a:graphicData>
                </a:graphic>
              </wp:anchor>
            </w:drawing>
          </mc:Choice>
          <mc:Fallback>
            <w:pict>
              <v:rect id="正方形/長方形 2062" style="mso-wrap-distance-right:9pt;mso-wrap-distance-bottom:0pt;margin-top:15.95pt;mso-position-vertical-relative:text;mso-position-horizontal-relative:text;v-text-anchor:top;position:absolute;height:88pt;mso-wrap-distance-top:0pt;width:33.25pt;mso-wrap-distance-left:9pt;margin-left:478.55pt;z-index:150;" o:spid="_x0000_s1176" o:allowincell="t" o:allowoverlap="t" filled="f" stroked="f" strokecolor="#32528f" strokeweight="1pt" o:spt="1">
                <v:fill/>
                <v:stroke linestyle="single" miterlimit="8" endcap="flat" dashstyle="solid"/>
                <v:textbox style="layout-flow:vertical-ideographic;">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要支援者・要介護認定者</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事業対象者</w:t>
                      </w:r>
                    </w:p>
                  </w:txbxContent>
                </v:textbox>
                <v:imagedata o:title=""/>
                <w10:wrap type="none" anchorx="text" anchory="text"/>
              </v:rect>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81</w:t>
      </w:r>
      <w:r>
        <w:rPr>
          <w:rFonts w:hint="eastAsia" w:ascii="ＭＳ ゴシック" w:hAnsi="ＭＳ ゴシック" w:eastAsia="ＭＳ ゴシック"/>
          <w:sz w:val="21"/>
        </w:rPr>
        <w:t>：元気・虚弱高齢者の介護予防に向けた取組</w:t>
      </w:r>
    </w:p>
    <w:p>
      <w:pPr>
        <w:pStyle w:val="0"/>
        <w:ind w:firstLine="2520" w:firstLineChars="1200"/>
        <w:jc w:val="both"/>
        <w:rPr>
          <w:rFonts w:hint="default" w:ascii="ＭＳ ゴシック" w:hAnsi="ＭＳ ゴシック" w:eastAsia="ＭＳ ゴシック"/>
          <w:sz w:val="21"/>
        </w:rPr>
      </w:pPr>
    </w:p>
    <w:p>
      <w:pPr>
        <w:pStyle w:val="0"/>
        <w:jc w:val="center"/>
        <w:rPr>
          <w:rFonts w:hint="default"/>
        </w:rPr>
      </w:pPr>
      <w:r>
        <w:rPr>
          <w:rFonts w:hint="eastAsia"/>
        </w:rPr>
        <mc:AlternateContent>
          <mc:Choice Requires="wps">
            <w:drawing>
              <wp:anchor distT="0" distB="0" distL="114300" distR="114300" simplePos="0" relativeHeight="130" behindDoc="0" locked="0" layoutInCell="1" hidden="0" allowOverlap="1">
                <wp:simplePos x="0" y="0"/>
                <wp:positionH relativeFrom="column">
                  <wp:posOffset>64770</wp:posOffset>
                </wp:positionH>
                <wp:positionV relativeFrom="paragraph">
                  <wp:posOffset>107315</wp:posOffset>
                </wp:positionV>
                <wp:extent cx="2026920" cy="758825"/>
                <wp:effectExtent l="0" t="0" r="635" b="635"/>
                <wp:wrapNone/>
                <wp:docPr id="1177" name="正方形/長方形 22"/>
                <a:graphic xmlns:a="http://schemas.openxmlformats.org/drawingml/2006/main">
                  <a:graphicData uri="http://schemas.microsoft.com/office/word/2010/wordprocessingShape">
                    <wps:wsp>
                      <wps:cNvPr id="1177" name="正方形/長方形 22"/>
                      <wps:cNvSpPr/>
                      <wps:spPr>
                        <a:xfrm>
                          <a:off x="0" y="0"/>
                          <a:ext cx="2026920" cy="758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１＜中リスク＞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外出機会は少ないが、身体能力が高い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4</w:t>
                            </w:r>
                            <w:r>
                              <w:rPr>
                                <w:rFonts w:hint="default" w:ascii="ＭＳ ゴシック" w:hAnsi="ＭＳ ゴシック" w:eastAsia="ＭＳ ゴシック"/>
                                <w:color w:val="000000" w:themeColor="text1"/>
                                <w:sz w:val="16"/>
                              </w:rPr>
                              <w:t>,020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13</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2</w:t>
                            </w:r>
                            <w:r>
                              <w:rPr>
                                <w:rFonts w:hint="default" w:ascii="ＭＳ ゴシック" w:hAnsi="ＭＳ ゴシック" w:eastAsia="ＭＳ ゴシック"/>
                                <w:color w:val="000000" w:themeColor="text1"/>
                                <w:sz w:val="16"/>
                              </w:rPr>
                              <w:t>,182</w:t>
                            </w:r>
                            <w:r>
                              <w:rPr>
                                <w:rFonts w:hint="eastAsia" w:ascii="ＭＳ ゴシック" w:hAnsi="ＭＳ ゴシック" w:eastAsia="ＭＳ ゴシック"/>
                                <w:color w:val="000000" w:themeColor="text1"/>
                                <w:sz w:val="16"/>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2" style="mso-wrap-distance-right:9pt;mso-wrap-distance-bottom:0pt;margin-top:8.44pt;mso-position-vertical-relative:text;mso-position-horizontal-relative:text;v-text-anchor:top;position:absolute;height:59.75pt;mso-wrap-distance-top:0pt;width:159.6pt;mso-wrap-distance-left:9pt;margin-left:5.09pt;z-index:130;" o:spid="_x0000_s1177" o:allowincell="t" o:allowoverlap="t" filled="t" fillcolor="#ffffff [3212]"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１＜中リスク＞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外出機会は少ないが、身体能力が高い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4</w:t>
                      </w:r>
                      <w:r>
                        <w:rPr>
                          <w:rFonts w:hint="default" w:ascii="ＭＳ ゴシック" w:hAnsi="ＭＳ ゴシック" w:eastAsia="ＭＳ ゴシック"/>
                          <w:color w:val="000000" w:themeColor="text1"/>
                          <w:sz w:val="16"/>
                        </w:rPr>
                        <w:t>,020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13</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2</w:t>
                      </w:r>
                      <w:r>
                        <w:rPr>
                          <w:rFonts w:hint="default" w:ascii="ＭＳ ゴシック" w:hAnsi="ＭＳ ゴシック" w:eastAsia="ＭＳ ゴシック"/>
                          <w:color w:val="000000" w:themeColor="text1"/>
                          <w:sz w:val="16"/>
                        </w:rPr>
                        <w:t>,182</w:t>
                      </w:r>
                      <w:r>
                        <w:rPr>
                          <w:rFonts w:hint="eastAsia" w:ascii="ＭＳ ゴシック" w:hAnsi="ＭＳ ゴシック" w:eastAsia="ＭＳ ゴシック"/>
                          <w:color w:val="000000" w:themeColor="text1"/>
                          <w:sz w:val="16"/>
                        </w:rPr>
                        <w:t>人</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49" behindDoc="0" locked="0" layoutInCell="1" hidden="0" allowOverlap="1">
                <wp:simplePos x="0" y="0"/>
                <wp:positionH relativeFrom="column">
                  <wp:posOffset>4167505</wp:posOffset>
                </wp:positionH>
                <wp:positionV relativeFrom="paragraph">
                  <wp:posOffset>127000</wp:posOffset>
                </wp:positionV>
                <wp:extent cx="1981200" cy="736600"/>
                <wp:effectExtent l="635" t="0" r="29210" b="10795"/>
                <wp:wrapNone/>
                <wp:docPr id="1178" name="フリーフォーム: 図形 2061"/>
                <a:graphic xmlns:a="http://schemas.openxmlformats.org/drawingml/2006/main">
                  <a:graphicData uri="http://schemas.microsoft.com/office/word/2010/wordprocessingShape">
                    <wps:wsp>
                      <wps:cNvPr id="1178" name="フリーフォーム: 図形 2061"/>
                      <wps:cNvSpPr/>
                      <wps:spPr>
                        <a:xfrm>
                          <a:off x="0" y="0"/>
                          <a:ext cx="1981200"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61" style="mso-wrap-distance-right:9pt;mso-wrap-distance-bottom:0pt;margin-top:10pt;mso-position-vertical-relative:text;mso-position-horizontal-relative:text;position:absolute;height:58pt;mso-wrap-distance-top:0pt;width:156pt;mso-wrap-distance-left:9pt;margin-left:328.15pt;z-index:149;" o:spid="_x0000_s1178"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58" behindDoc="0" locked="0" layoutInCell="1" hidden="0" allowOverlap="1">
                <wp:simplePos x="0" y="0"/>
                <wp:positionH relativeFrom="column">
                  <wp:posOffset>76200</wp:posOffset>
                </wp:positionH>
                <wp:positionV relativeFrom="paragraph">
                  <wp:posOffset>114300</wp:posOffset>
                </wp:positionV>
                <wp:extent cx="1981200" cy="736600"/>
                <wp:effectExtent l="635" t="0" r="29845" b="10795"/>
                <wp:wrapNone/>
                <wp:docPr id="1179" name="フリーフォーム: 図形 1025"/>
                <a:graphic xmlns:a="http://schemas.openxmlformats.org/drawingml/2006/main">
                  <a:graphicData uri="http://schemas.microsoft.com/office/word/2010/wordprocessingShape">
                    <wps:wsp>
                      <wps:cNvPr id="1179" name="フリーフォーム: 図形 1025"/>
                      <wps:cNvSpPr/>
                      <wps:spPr>
                        <a:xfrm flipH="1">
                          <a:off x="0" y="0"/>
                          <a:ext cx="1981200"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1025" style="flip:x;mso-wrap-distance-right:9pt;mso-wrap-distance-bottom:0pt;margin-top:9pt;mso-position-vertical-relative:text;mso-position-horizontal-relative:text;position:absolute;height:58pt;mso-wrap-distance-top:0pt;width:156pt;mso-wrap-distance-left:9pt;margin-left:6pt;z-index:158;" o:spid="_x0000_s1179"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34" behindDoc="0" locked="0" layoutInCell="1" hidden="0" allowOverlap="1">
                <wp:simplePos x="0" y="0"/>
                <wp:positionH relativeFrom="column">
                  <wp:posOffset>4163695</wp:posOffset>
                </wp:positionH>
                <wp:positionV relativeFrom="paragraph">
                  <wp:posOffset>123190</wp:posOffset>
                </wp:positionV>
                <wp:extent cx="2026920" cy="758825"/>
                <wp:effectExtent l="0" t="0" r="635" b="635"/>
                <wp:wrapNone/>
                <wp:docPr id="1180" name="正方形/長方形 26"/>
                <a:graphic xmlns:a="http://schemas.openxmlformats.org/drawingml/2006/main">
                  <a:graphicData uri="http://schemas.microsoft.com/office/word/2010/wordprocessingShape">
                    <wps:wsp>
                      <wps:cNvPr id="1180" name="正方形/長方形 26"/>
                      <wps:cNvSpPr/>
                      <wps:spPr>
                        <a:xfrm>
                          <a:off x="0" y="0"/>
                          <a:ext cx="2026920"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２＜高リスク＞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外出機会が少なく、身体能力も低下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,160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8</w:t>
                            </w:r>
                            <w:r>
                              <w:rPr>
                                <w:rFonts w:hint="default" w:ascii="ＭＳ ゴシック" w:hAnsi="ＭＳ ゴシック" w:eastAsia="ＭＳ ゴシック"/>
                                <w:color w:val="000000" w:themeColor="text1"/>
                                <w:sz w:val="16"/>
                              </w:rPr>
                              <w:t>39</w:t>
                            </w:r>
                            <w:r>
                              <w:rPr>
                                <w:rFonts w:hint="eastAsia" w:ascii="ＭＳ ゴシック" w:hAnsi="ＭＳ ゴシック" w:eastAsia="ＭＳ ゴシック"/>
                                <w:color w:val="000000" w:themeColor="text1"/>
                                <w:sz w:val="16"/>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6" style="mso-wrap-distance-right:9pt;mso-wrap-distance-bottom:0pt;margin-top:9.69pt;mso-position-vertical-relative:text;mso-position-horizontal-relative:text;v-text-anchor:top;position:absolute;height:59.75pt;mso-wrap-distance-top:0pt;width:159.6pt;mso-wrap-distance-left:9pt;margin-left:327.85pt;z-index:134;" o:spid="_x0000_s1180"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２＜高リスク＞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外出機会が少なく、身体能力も低下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,160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8</w:t>
                      </w:r>
                      <w:r>
                        <w:rPr>
                          <w:rFonts w:hint="default" w:ascii="ＭＳ ゴシック" w:hAnsi="ＭＳ ゴシック" w:eastAsia="ＭＳ ゴシック"/>
                          <w:color w:val="000000" w:themeColor="text1"/>
                          <w:sz w:val="16"/>
                        </w:rPr>
                        <w:t>39</w:t>
                      </w:r>
                      <w:r>
                        <w:rPr>
                          <w:rFonts w:hint="eastAsia" w:ascii="ＭＳ ゴシック" w:hAnsi="ＭＳ ゴシック" w:eastAsia="ＭＳ ゴシック"/>
                          <w:color w:val="000000" w:themeColor="text1"/>
                          <w:sz w:val="16"/>
                        </w:rPr>
                        <w:t>人</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48" behindDoc="0" locked="0" layoutInCell="1" hidden="0" allowOverlap="1">
                <wp:simplePos x="0" y="0"/>
                <wp:positionH relativeFrom="column">
                  <wp:posOffset>4172585</wp:posOffset>
                </wp:positionH>
                <wp:positionV relativeFrom="paragraph">
                  <wp:posOffset>123190</wp:posOffset>
                </wp:positionV>
                <wp:extent cx="1986915" cy="956310"/>
                <wp:effectExtent l="0" t="635" r="29845" b="10160"/>
                <wp:wrapNone/>
                <wp:docPr id="1181" name="フリーフォーム: 図形 2060"/>
                <a:graphic xmlns:a="http://schemas.openxmlformats.org/drawingml/2006/main">
                  <a:graphicData uri="http://schemas.microsoft.com/office/word/2010/wordprocessingShape">
                    <wps:wsp>
                      <wps:cNvPr id="1181" name="フリーフォーム: 図形 2060"/>
                      <wps:cNvSpPr/>
                      <wps:spPr>
                        <a:xfrm>
                          <a:off x="0" y="0"/>
                          <a:ext cx="1986915" cy="956310"/>
                        </a:xfrm>
                        <a:custGeom>
                          <a:avLst/>
                          <a:gdLst>
                            <a:gd name="connsiteX0" fmla="*/ 0 w 1987366"/>
                            <a:gd name="connsiteY0" fmla="*/ 0 h 956684"/>
                            <a:gd name="connsiteX1" fmla="*/ 1987366 w 1987366"/>
                            <a:gd name="connsiteY1" fmla="*/ 0 h 956684"/>
                            <a:gd name="connsiteX2" fmla="*/ 1987366 w 1987366"/>
                            <a:gd name="connsiteY2" fmla="*/ 956684 h 956684"/>
                          </a:gdLst>
                          <a:ahLst/>
                          <a:cxnLst>
                            <a:cxn ang="0">
                              <a:pos x="connsiteX0" y="connsiteY0"/>
                            </a:cxn>
                            <a:cxn ang="0">
                              <a:pos x="connsiteX1" y="connsiteY1"/>
                            </a:cxn>
                            <a:cxn ang="0">
                              <a:pos x="connsiteX2" y="connsiteY2"/>
                            </a:cxn>
                          </a:cxnLst>
                          <a:rect l="l" t="t" r="r" b="b"/>
                          <a:pathLst>
                            <a:path w="1987366" h="956684">
                              <a:moveTo>
                                <a:pt x="0" y="0"/>
                              </a:moveTo>
                              <a:lnTo>
                                <a:pt x="1987366" y="0"/>
                              </a:lnTo>
                              <a:lnTo>
                                <a:pt x="1987366" y="956684"/>
                              </a:ln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60" style="mso-wrap-distance-right:9pt;mso-wrap-distance-bottom:0pt;margin-top:9.69pt;mso-position-vertical-relative:text;mso-position-horizontal-relative:text;position:absolute;height:75.3pt;mso-wrap-distance-top:0pt;width:156.44pt;mso-wrap-distance-left:9pt;margin-left:328.55pt;z-index:148;" o:spid="_x0000_s1181" o:allowincell="t" o:allowoverlap="t" filled="f" stroked="t" strokecolor="#000000 [3213]" strokeweight="1pt" o:spt="100" path="m0,0l0,0l21600,0l21600,21600e">
                <v:path textboxrect="0,0,21600,21600" arrowok="true" o:connecttype="custom" o:connectlocs="0,0;21600,0;21600,21600" o:connectangles="0,0,0"/>
                <v:fill/>
                <v:stroke linestyle="single" miterlimit="8" endcap="flat" dashstyle="dash"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35" behindDoc="0" locked="0" layoutInCell="1" hidden="0" allowOverlap="1">
                <wp:simplePos x="0" y="0"/>
                <wp:positionH relativeFrom="column">
                  <wp:posOffset>2681605</wp:posOffset>
                </wp:positionH>
                <wp:positionV relativeFrom="paragraph">
                  <wp:posOffset>190500</wp:posOffset>
                </wp:positionV>
                <wp:extent cx="825500" cy="181610"/>
                <wp:effectExtent l="635" t="635" r="29845" b="10795"/>
                <wp:wrapNone/>
                <wp:docPr id="1182" name="角丸四角形 3"/>
                <a:graphic xmlns:a="http://schemas.openxmlformats.org/drawingml/2006/main">
                  <a:graphicData uri="http://schemas.microsoft.com/office/word/2010/wordprocessingShape">
                    <wps:wsp>
                      <wps:cNvPr id="1182" name="角丸四角形 3"/>
                      <wps:cNvSpPr/>
                      <wps:spPr>
                        <a:xfrm>
                          <a:off x="0" y="0"/>
                          <a:ext cx="825500" cy="18161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外出機会が少ない</w:t>
                            </w:r>
                          </w:p>
                        </w:txbxContent>
                      </wps:txbx>
                      <wps:bodyPr vertOverflow="clip" horzOverflow="clip" wrap="square" rtlCol="0" anchor="t"/>
                    </wps:wsp>
                  </a:graphicData>
                </a:graphic>
              </wp:anchor>
            </w:drawing>
          </mc:Choice>
          <mc:Fallback>
            <w:pict>
              <v:roundrect id="角丸四角形 3" style="mso-wrap-distance-right:9pt;mso-wrap-distance-bottom:0pt;margin-top:15pt;mso-position-vertical-relative:text;mso-position-horizontal-relative:text;v-text-anchor:top;position:absolute;height:14.3pt;mso-wrap-distance-top:0pt;width:65pt;mso-wrap-distance-left:9pt;margin-left:211.15pt;z-index:135;" o:spid="_x0000_s1182" o:allowincell="t" o:allowoverlap="t" filled="t" fillcolor="#4472c4 [320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外出機会が少ない</w:t>
                      </w:r>
                    </w:p>
                  </w:txbxContent>
                </v:textbox>
                <v:imagedata o:title=""/>
                <w10:wrap type="none" anchorx="text" anchory="text"/>
              </v:roundrect>
            </w:pict>
          </mc:Fallback>
        </mc:AlternateContent>
      </w:r>
    </w:p>
    <w:p>
      <w:pPr>
        <w:pStyle w:val="0"/>
        <w:rPr>
          <w:rFonts w:hint="default"/>
        </w:rPr>
      </w:pPr>
      <w:r>
        <w:rPr>
          <w:rFonts w:hint="default"/>
        </w:rPr>
        <mc:AlternateContent>
          <mc:Choice Requires="wps">
            <w:drawing>
              <wp:anchor distT="0" distB="0" distL="114300" distR="114300" simplePos="0" relativeHeight="141" behindDoc="0" locked="0" layoutInCell="1" hidden="0" allowOverlap="1">
                <wp:simplePos x="0" y="0"/>
                <wp:positionH relativeFrom="column">
                  <wp:posOffset>3122930</wp:posOffset>
                </wp:positionH>
                <wp:positionV relativeFrom="paragraph">
                  <wp:posOffset>226695</wp:posOffset>
                </wp:positionV>
                <wp:extent cx="0" cy="3150235"/>
                <wp:effectExtent l="84455" t="635" r="94615" b="1270"/>
                <wp:wrapNone/>
                <wp:docPr id="1183" name="直線矢印コネクタ 2053"/>
                <a:graphic xmlns:a="http://schemas.openxmlformats.org/drawingml/2006/main">
                  <a:graphicData uri="http://schemas.microsoft.com/office/word/2010/wordprocessingShape">
                    <wps:wsp>
                      <wps:cNvPr id="1183" name="直線矢印コネクタ 2053"/>
                      <wps:cNvCnPr/>
                      <wps:spPr>
                        <a:xfrm>
                          <a:off x="0" y="0"/>
                          <a:ext cx="0" cy="3150235"/>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053" style="mso-wrap-distance-right:9pt;mso-wrap-distance-bottom:0pt;margin-top:17.850000000000001pt;mso-position-vertical-relative:text;mso-position-horizontal-relative:text;position:absolute;height:248.05pt;mso-wrap-distance-top:0pt;width:0pt;mso-wrap-distance-left:9pt;margin-left:245.9pt;z-index:141;" o:spid="_x0000_s1183" o:allowincell="t" o:allowoverlap="t" filled="f" stroked="t" strokecolor="#4472c4 [3204]" strokeweight="3pt" o:spt="32" type="#_x0000_t32">
                <v:fill/>
                <v:stroke linestyle="single" miterlimit="8" endcap="flat" dashstyle="solid" filltype="solid" startarrow="open" startarrowwidth="medium" startarrowlength="medium" endarrow="open" endarrowwidth="medium" endarrowlength="medium"/>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46" behindDoc="0" locked="0" layoutInCell="1" hidden="0" allowOverlap="1">
                <wp:simplePos x="0" y="0"/>
                <wp:positionH relativeFrom="column">
                  <wp:posOffset>3194685</wp:posOffset>
                </wp:positionH>
                <wp:positionV relativeFrom="paragraph">
                  <wp:posOffset>20320</wp:posOffset>
                </wp:positionV>
                <wp:extent cx="2962275" cy="1110615"/>
                <wp:effectExtent l="0" t="0" r="635" b="635"/>
                <wp:wrapNone/>
                <wp:docPr id="1184" name="正方形/長方形 2058"/>
                <a:graphic xmlns:a="http://schemas.openxmlformats.org/drawingml/2006/main">
                  <a:graphicData uri="http://schemas.microsoft.com/office/word/2010/wordprocessingShape">
                    <wps:wsp>
                      <wps:cNvPr id="1184" name="正方形/長方形 2058"/>
                      <wps:cNvSpPr/>
                      <wps:spPr>
                        <a:xfrm>
                          <a:off x="0" y="0"/>
                          <a:ext cx="2962275" cy="1110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【最も介護予防に取り組むべき高齢者層】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●介護予防のための健康情報提供</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・介護予防に必要な活動量の情報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・身体機能向上に必要な運動内容や運動量の情報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●個別アプローチによる健康指導</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・生活指導・自主トレ指導</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・アンチエイジングセミナー参加促進と内容の充実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●通いの場の周知広報・利用促進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・街かどデイハウス　　　　　　　　　　　　など</w:t>
                            </w:r>
                          </w:p>
                        </w:txbxContent>
                      </wps:txbx>
                      <wps:bodyPr rot="0" vertOverflow="overflow" horzOverflow="overflow" wrap="square" numCol="1" spcCol="0" rtlCol="0" fromWordArt="0" anchor="t" anchorCtr="0" forceAA="0" compatLnSpc="1"/>
                    </wps:wsp>
                  </a:graphicData>
                </a:graphic>
              </wp:anchor>
            </w:drawing>
          </mc:Choice>
          <mc:Fallback>
            <w:pict>
              <v:rect id="正方形/長方形 2058" style="mso-wrap-distance-right:9pt;mso-wrap-distance-bottom:0pt;margin-top:1.6pt;mso-position-vertical-relative:text;mso-position-horizontal-relative:text;v-text-anchor:top;position:absolute;height:87.45pt;mso-wrap-distance-top:0pt;width:233.25pt;mso-wrap-distance-left:9pt;margin-left:251.55pt;z-index:146;" o:spid="_x0000_s1184" o:allowincell="t" o:allowoverlap="t" filled="f" stroked="f" strokecolor="#32528f" strokeweight="1pt" o:spt="1">
                <v:fill/>
                <v:stroke linestyle="single" miterlimit="8" endcap="flat" dashstyle="solid"/>
                <v:textbox style="layout-flow:horizontal;">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【最も介護予防に取り組むべき高齢者層】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●介護予防のための健康情報提供</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・介護予防に必要な活動量の情報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・身体機能向上に必要な運動内容や運動量の情報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●個別アプローチによる健康指導</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・生活指導・自主トレ指導</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・アンチエイジングセミナー参加促進と内容の充実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●通いの場の周知広報・利用促進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・街かどデイハウス　　　　　　　　　　　　など</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43" behindDoc="0" locked="0" layoutInCell="1" hidden="0" allowOverlap="1">
                <wp:simplePos x="0" y="0"/>
                <wp:positionH relativeFrom="column">
                  <wp:posOffset>433705</wp:posOffset>
                </wp:positionH>
                <wp:positionV relativeFrom="paragraph">
                  <wp:posOffset>28575</wp:posOffset>
                </wp:positionV>
                <wp:extent cx="2962275" cy="1110615"/>
                <wp:effectExtent l="0" t="0" r="635" b="635"/>
                <wp:wrapNone/>
                <wp:docPr id="1185" name="正方形/長方形 2055"/>
                <a:graphic xmlns:a="http://schemas.openxmlformats.org/drawingml/2006/main">
                  <a:graphicData uri="http://schemas.microsoft.com/office/word/2010/wordprocessingShape">
                    <wps:wsp>
                      <wps:cNvPr id="1185" name="正方形/長方形 2055"/>
                      <wps:cNvSpPr/>
                      <wps:spPr>
                        <a:xfrm>
                          <a:off x="0" y="0"/>
                          <a:ext cx="2962275" cy="1110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【閉じこもり予防すべき高齢者層】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●意識改革のための健康情報の提供</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・ウォーキングの歩数など必要な活動量の情報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・自宅内でのトレーニングメニューの情報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●通いの場の周知広報・利用促進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・シニアクラブ・地区福祉会・自主サークル</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・介護予防教室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・シニア塾　　　　　　　　　　　　　　など</w:t>
                            </w:r>
                          </w:p>
                        </w:txbxContent>
                      </wps:txbx>
                      <wps:bodyPr rot="0" vertOverflow="overflow" horzOverflow="overflow" wrap="square" numCol="1" spcCol="0" rtlCol="0" fromWordArt="0" anchor="t" anchorCtr="0" forceAA="0" compatLnSpc="1"/>
                    </wps:wsp>
                  </a:graphicData>
                </a:graphic>
              </wp:anchor>
            </w:drawing>
          </mc:Choice>
          <mc:Fallback>
            <w:pict>
              <v:rect id="正方形/長方形 2055" style="mso-wrap-distance-right:9pt;mso-wrap-distance-bottom:0pt;margin-top:2.25pt;mso-position-vertical-relative:text;mso-position-horizontal-relative:text;v-text-anchor:top;position:absolute;height:87.45pt;mso-wrap-distance-top:0pt;width:233.25pt;mso-wrap-distance-left:9pt;margin-left:34.15pt;z-index:143;" o:spid="_x0000_s1185" o:allowincell="t" o:allowoverlap="t" filled="f" stroked="f" strokecolor="#32528f" strokeweight="1pt" o:spt="1">
                <v:fill/>
                <v:stroke linestyle="single" miterlimit="8" endcap="flat" dashstyle="solid"/>
                <v:textbox style="layout-flow:horizontal;">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【閉じこもり予防すべき高齢者層】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●意識改革のための健康情報の提供</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・ウォーキングの歩数など必要な活動量の情報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・自宅内でのトレーニングメニューの情報</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●通いの場の周知広報・利用促進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・シニアクラブ・地区福祉会・自主サークル</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・介護予防教室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・シニア塾　　　　　　　　　　　　　　など</w:t>
                      </w:r>
                    </w:p>
                  </w:txbxContent>
                </v:textbox>
                <v:imagedata o:title=""/>
                <w10:wrap type="none" anchorx="text" anchory="text"/>
              </v:rect>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40" behindDoc="0" locked="0" layoutInCell="1" hidden="0" allowOverlap="1">
                <wp:simplePos x="0" y="0"/>
                <wp:positionH relativeFrom="column">
                  <wp:posOffset>5840730</wp:posOffset>
                </wp:positionH>
                <wp:positionV relativeFrom="paragraph">
                  <wp:posOffset>19685</wp:posOffset>
                </wp:positionV>
                <wp:extent cx="304800" cy="787400"/>
                <wp:effectExtent l="635" t="635" r="635" b="635"/>
                <wp:wrapNone/>
                <wp:docPr id="1186" name="角丸四角形 3"/>
                <a:graphic xmlns:a="http://schemas.openxmlformats.org/drawingml/2006/main">
                  <a:graphicData uri="http://schemas.microsoft.com/office/word/2010/wordprocessingShape">
                    <wps:wsp>
                      <wps:cNvPr id="1186" name="角丸四角形 3"/>
                      <wps:cNvSpPr/>
                      <wps:spPr>
                        <a:xfrm>
                          <a:off x="0" y="0"/>
                          <a:ext cx="304800" cy="7874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身体能力が低い</w:t>
                            </w:r>
                          </w:p>
                        </w:txbxContent>
                      </wps:txbx>
                      <wps:bodyPr vertOverflow="clip" horzOverflow="clip" vert="eaVert" wrap="square" rtlCol="0" anchor="t"/>
                    </wps:wsp>
                  </a:graphicData>
                </a:graphic>
              </wp:anchor>
            </w:drawing>
          </mc:Choice>
          <mc:Fallback>
            <w:pict>
              <v:roundrect id="角丸四角形 3" style="mso-wrap-distance-right:9pt;mso-wrap-distance-bottom:0pt;margin-top:1.55pt;mso-position-vertical-relative:text;mso-position-horizontal-relative:text;v-text-anchor:top;position:absolute;height:62pt;mso-wrap-distance-top:0pt;width:24pt;mso-wrap-distance-left:9pt;margin-left:459.9pt;z-index:140;" o:spid="_x0000_s1186" o:allowincell="t" o:allowoverlap="t" filled="f" stroked="f" strokecolor="#70ad47 [3209]" strokeweight="0.5pt" o:spt="2" arcsize="10923f">
                <v:fill/>
                <v:stroke linestyle="single" miterlimit="8" endcap="flat" dashstyle="solid"/>
                <v:textbox style="layout-flow:vertical-ideographic;">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身体能力が低い</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39" behindDoc="0" locked="0" layoutInCell="1" hidden="0" allowOverlap="1">
                <wp:simplePos x="0" y="0"/>
                <wp:positionH relativeFrom="column">
                  <wp:posOffset>5861050</wp:posOffset>
                </wp:positionH>
                <wp:positionV relativeFrom="paragraph">
                  <wp:posOffset>19685</wp:posOffset>
                </wp:positionV>
                <wp:extent cx="234950" cy="787400"/>
                <wp:effectExtent l="635" t="635" r="29845" b="10795"/>
                <wp:wrapNone/>
                <wp:docPr id="1187" name="角丸四角形 3"/>
                <a:graphic xmlns:a="http://schemas.openxmlformats.org/drawingml/2006/main">
                  <a:graphicData uri="http://schemas.microsoft.com/office/word/2010/wordprocessingShape">
                    <wps:wsp>
                      <wps:cNvPr id="1187" name="角丸四角形 3"/>
                      <wps:cNvSpPr/>
                      <wps:spPr>
                        <a:xfrm>
                          <a:off x="0" y="0"/>
                          <a:ext cx="234950" cy="78740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55pt;mso-position-vertical-relative:text;mso-position-horizontal-relative:text;v-text-anchor:top;position:absolute;height:62pt;mso-wrap-distance-top:0pt;width:18.5pt;mso-wrap-distance-left:9pt;margin-left:461.5pt;z-index:139;" o:spid="_x0000_s1187" o:allowincell="t" o:allowoverlap="t" filled="t" fillcolor="#4472c4 [3204]" stroked="t" strokecolor="#808080 [1612]" strokeweight="0.5pt" o:spt="2" arcsize="10923f">
                <v:fill/>
                <v:stroke linestyle="single" miterlimit="8" endcap="flat" dashstyle="solid" filltype="solid"/>
                <v:textbox style="layout-flow:vertical-ideographic;">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38" behindDoc="0" locked="0" layoutInCell="1" hidden="0" allowOverlap="1">
                <wp:simplePos x="0" y="0"/>
                <wp:positionH relativeFrom="column">
                  <wp:posOffset>128905</wp:posOffset>
                </wp:positionH>
                <wp:positionV relativeFrom="paragraph">
                  <wp:posOffset>19685</wp:posOffset>
                </wp:positionV>
                <wp:extent cx="304800" cy="787400"/>
                <wp:effectExtent l="635" t="635" r="635" b="635"/>
                <wp:wrapNone/>
                <wp:docPr id="1188" name="角丸四角形 3"/>
                <a:graphic xmlns:a="http://schemas.openxmlformats.org/drawingml/2006/main">
                  <a:graphicData uri="http://schemas.microsoft.com/office/word/2010/wordprocessingShape">
                    <wps:wsp>
                      <wps:cNvPr id="1188" name="角丸四角形 3"/>
                      <wps:cNvSpPr/>
                      <wps:spPr>
                        <a:xfrm>
                          <a:off x="0" y="0"/>
                          <a:ext cx="304800" cy="7874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身体能力が高い</w:t>
                            </w:r>
                          </w:p>
                        </w:txbxContent>
                      </wps:txbx>
                      <wps:bodyPr vertOverflow="clip" horzOverflow="clip" vert="eaVert" wrap="square" rtlCol="0" anchor="t"/>
                    </wps:wsp>
                  </a:graphicData>
                </a:graphic>
              </wp:anchor>
            </w:drawing>
          </mc:Choice>
          <mc:Fallback>
            <w:pict>
              <v:roundrect id="角丸四角形 3" style="mso-wrap-distance-right:9pt;mso-wrap-distance-bottom:0pt;margin-top:1.55pt;mso-position-vertical-relative:text;mso-position-horizontal-relative:text;v-text-anchor:top;position:absolute;height:62pt;mso-wrap-distance-top:0pt;width:24pt;mso-wrap-distance-left:9pt;margin-left:10.15pt;z-index:138;" o:spid="_x0000_s1188" o:allowincell="t" o:allowoverlap="t" filled="f" stroked="f" strokecolor="#70ad47 [3209]" strokeweight="0.5pt" o:spt="2" arcsize="10923f">
                <v:fill/>
                <v:stroke linestyle="single" miterlimit="8" endcap="flat" dashstyle="solid"/>
                <v:textbox style="layout-flow:vertical-ideographic;">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身体能力が高い</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37" behindDoc="0" locked="0" layoutInCell="1" hidden="0" allowOverlap="1">
                <wp:simplePos x="0" y="0"/>
                <wp:positionH relativeFrom="column">
                  <wp:posOffset>160655</wp:posOffset>
                </wp:positionH>
                <wp:positionV relativeFrom="paragraph">
                  <wp:posOffset>19685</wp:posOffset>
                </wp:positionV>
                <wp:extent cx="234950" cy="787400"/>
                <wp:effectExtent l="635" t="635" r="29845" b="10795"/>
                <wp:wrapNone/>
                <wp:docPr id="1189" name="角丸四角形 3"/>
                <a:graphic xmlns:a="http://schemas.openxmlformats.org/drawingml/2006/main">
                  <a:graphicData uri="http://schemas.microsoft.com/office/word/2010/wordprocessingShape">
                    <wps:wsp>
                      <wps:cNvPr id="1189" name="角丸四角形 3"/>
                      <wps:cNvSpPr/>
                      <wps:spPr>
                        <a:xfrm>
                          <a:off x="0" y="0"/>
                          <a:ext cx="234950" cy="78740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55pt;mso-position-vertical-relative:text;mso-position-horizontal-relative:text;v-text-anchor:top;position:absolute;height:62pt;mso-wrap-distance-top:0pt;width:18.5pt;mso-wrap-distance-left:9pt;margin-left:12.65pt;z-index:137;" o:spid="_x0000_s1189" o:allowincell="t" o:allowoverlap="t" filled="t" fillcolor="#4472c4 [3204]" stroked="t" strokecolor="#808080 [1612]" strokeweight="0.5pt" o:spt="2" arcsize="10923f">
                <v:fill/>
                <v:stroke linestyle="single" miterlimit="8" endcap="flat" dashstyle="solid" filltype="solid"/>
                <v:textbox style="layout-flow:vertical-ideographic;">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v:textbox>
                <v:imagedata o:title=""/>
                <w10:wrap type="none" anchorx="text" anchory="text"/>
              </v:round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44" behindDoc="0" locked="0" layoutInCell="1" hidden="0" allowOverlap="1">
                <wp:simplePos x="0" y="0"/>
                <wp:positionH relativeFrom="column">
                  <wp:posOffset>396875</wp:posOffset>
                </wp:positionH>
                <wp:positionV relativeFrom="paragraph">
                  <wp:posOffset>45720</wp:posOffset>
                </wp:positionV>
                <wp:extent cx="2962275" cy="1110615"/>
                <wp:effectExtent l="0" t="0" r="635" b="635"/>
                <wp:wrapNone/>
                <wp:docPr id="1190" name="正方形/長方形 2056"/>
                <a:graphic xmlns:a="http://schemas.openxmlformats.org/drawingml/2006/main">
                  <a:graphicData uri="http://schemas.microsoft.com/office/word/2010/wordprocessingShape">
                    <wps:wsp>
                      <wps:cNvPr id="1190" name="正方形/長方形 2056"/>
                      <wps:cNvSpPr/>
                      <wps:spPr>
                        <a:xfrm>
                          <a:off x="0" y="0"/>
                          <a:ext cx="2962275" cy="1110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【自立した高齢者層】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●担い手としての育成</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・シニアクラブや地区福祉会、自治会の役員</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・地域の通いの場や自主サークルなどでの</w:t>
                            </w:r>
                          </w:p>
                          <w:p>
                            <w:pPr>
                              <w:pStyle w:val="0"/>
                              <w:spacing w:line="160" w:lineRule="exact"/>
                              <w:ind w:firstLine="280" w:firstLineChars="200"/>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介護予防活動のリーダー　　　　　　など</w:t>
                            </w:r>
                          </w:p>
                        </w:txbxContent>
                      </wps:txbx>
                      <wps:bodyPr rot="0" vertOverflow="overflow" horzOverflow="overflow" wrap="square" numCol="1" spcCol="0" rtlCol="0" fromWordArt="0" anchor="t" anchorCtr="0" forceAA="0" compatLnSpc="1"/>
                    </wps:wsp>
                  </a:graphicData>
                </a:graphic>
              </wp:anchor>
            </w:drawing>
          </mc:Choice>
          <mc:Fallback>
            <w:pict>
              <v:rect id="正方形/長方形 2056" style="mso-wrap-distance-right:9pt;mso-wrap-distance-bottom:0pt;margin-top:3.6pt;mso-position-vertical-relative:text;mso-position-horizontal-relative:text;v-text-anchor:top;position:absolute;height:87.45pt;mso-wrap-distance-top:0pt;width:233.25pt;mso-wrap-distance-left:9pt;margin-left:31.25pt;z-index:144;" o:spid="_x0000_s1190" o:allowincell="t" o:allowoverlap="t" filled="f" stroked="f" strokecolor="#32528f" strokeweight="1pt" o:spt="1">
                <v:fill/>
                <v:stroke linestyle="single" miterlimit="8" endcap="flat" dashstyle="solid"/>
                <v:textbox style="layout-flow:horizontal;">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【自立した高齢者層】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●担い手としての育成</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・シニアクラブや地区福祉会、自治会の役員</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・地域の通いの場や自主サークルなどでの</w:t>
                      </w:r>
                    </w:p>
                    <w:p>
                      <w:pPr>
                        <w:pStyle w:val="0"/>
                        <w:spacing w:line="160" w:lineRule="exact"/>
                        <w:ind w:firstLine="280" w:firstLineChars="200"/>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介護予防活動のリーダー　　　　　　など</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45" behindDoc="0" locked="0" layoutInCell="1" hidden="0" allowOverlap="1">
                <wp:simplePos x="0" y="0"/>
                <wp:positionH relativeFrom="column">
                  <wp:posOffset>3162935</wp:posOffset>
                </wp:positionH>
                <wp:positionV relativeFrom="paragraph">
                  <wp:posOffset>47625</wp:posOffset>
                </wp:positionV>
                <wp:extent cx="2962275" cy="1110615"/>
                <wp:effectExtent l="0" t="0" r="635" b="635"/>
                <wp:wrapNone/>
                <wp:docPr id="1191" name="正方形/長方形 2057"/>
                <a:graphic xmlns:a="http://schemas.openxmlformats.org/drawingml/2006/main">
                  <a:graphicData uri="http://schemas.microsoft.com/office/word/2010/wordprocessingShape">
                    <wps:wsp>
                      <wps:cNvPr id="1191" name="正方形/長方形 2057"/>
                      <wps:cNvSpPr/>
                      <wps:spPr>
                        <a:xfrm>
                          <a:off x="0" y="0"/>
                          <a:ext cx="2962275" cy="1110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【虚弱を改善すべき高齢者層】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●虚弱改善に向けた仕掛けづくり</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・パワープレート利用促進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・介護予防教室参加促進と内容の充実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・シニア塾の健康寄せ、内容の充実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●通いの場への誘導、社会参加活動の維持支援</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・稲ふれあいセンターの利用促進とラジオ体操の推奨</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・シニアクラブや地区福祉会への参加促し</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●担い手としての育成　　　　　　　　　　　　　など</w:t>
                            </w:r>
                          </w:p>
                        </w:txbxContent>
                      </wps:txbx>
                      <wps:bodyPr rot="0" vertOverflow="overflow" horzOverflow="overflow" wrap="square" numCol="1" spcCol="0" rtlCol="0" fromWordArt="0" anchor="t" anchorCtr="0" forceAA="0" compatLnSpc="1"/>
                    </wps:wsp>
                  </a:graphicData>
                </a:graphic>
              </wp:anchor>
            </w:drawing>
          </mc:Choice>
          <mc:Fallback>
            <w:pict>
              <v:rect id="正方形/長方形 2057" style="mso-wrap-distance-right:9pt;mso-wrap-distance-bottom:0pt;margin-top:3.75pt;mso-position-vertical-relative:text;mso-position-horizontal-relative:text;v-text-anchor:top;position:absolute;height:87.45pt;mso-wrap-distance-top:0pt;width:233.25pt;mso-wrap-distance-left:9pt;margin-left:249.05pt;z-index:145;" o:spid="_x0000_s1191" o:allowincell="t" o:allowoverlap="t" filled="f" stroked="f" strokecolor="#32528f" strokeweight="1pt" o:spt="1">
                <v:fill/>
                <v:stroke linestyle="single" miterlimit="8" endcap="flat" dashstyle="solid"/>
                <v:textbox style="layout-flow:horizontal;">
                  <w:txbxContent>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【虚弱を改善すべき高齢者層】</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●虚弱改善に向けた仕掛けづくり</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・パワープレート利用促進</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・介護予防教室参加促進と内容の充実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・シニア塾の健康寄せ、内容の充実</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●通いの場への誘導、社会参加活動の維持支援</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・稲ふれあいセンターの利用促進とラジオ体操の推奨</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　・シニアクラブや地区福祉会への参加促し</w:t>
                      </w:r>
                    </w:p>
                    <w:p>
                      <w:pPr>
                        <w:pStyle w:val="0"/>
                        <w:spacing w:line="160" w:lineRule="exact"/>
                        <w:rPr>
                          <w:rFonts w:hint="default" w:ascii="ＭＳ ゴシック" w:hAnsi="ＭＳ ゴシック" w:eastAsia="ＭＳ ゴシック"/>
                          <w:color w:val="000000" w:themeColor="text1"/>
                          <w:sz w:val="14"/>
                        </w:rPr>
                      </w:pPr>
                      <w:r>
                        <w:rPr>
                          <w:rFonts w:hint="eastAsia" w:ascii="ＭＳ ゴシック" w:hAnsi="ＭＳ ゴシック" w:eastAsia="ＭＳ ゴシック"/>
                          <w:color w:val="000000" w:themeColor="text1"/>
                          <w:sz w:val="14"/>
                        </w:rPr>
                        <w:t>●担い手としての育成　　　　　　　　　　　　　など</w:t>
                      </w:r>
                    </w:p>
                  </w:txbxContent>
                </v:textbox>
                <v:imagedata o:title=""/>
                <w10:wrap type="none" anchorx="text" anchory="text"/>
              </v:rect>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132" behindDoc="0" locked="0" layoutInCell="1" hidden="0" allowOverlap="1">
                <wp:simplePos x="0" y="0"/>
                <wp:positionH relativeFrom="column">
                  <wp:posOffset>62865</wp:posOffset>
                </wp:positionH>
                <wp:positionV relativeFrom="paragraph">
                  <wp:posOffset>210185</wp:posOffset>
                </wp:positionV>
                <wp:extent cx="2026920" cy="758825"/>
                <wp:effectExtent l="0" t="0" r="635" b="635"/>
                <wp:wrapNone/>
                <wp:docPr id="1192" name="正方形/長方形 24"/>
                <a:graphic xmlns:a="http://schemas.openxmlformats.org/drawingml/2006/main">
                  <a:graphicData uri="http://schemas.microsoft.com/office/word/2010/wordprocessingShape">
                    <wps:wsp>
                      <wps:cNvPr id="1192" name="正方形/長方形 24"/>
                      <wps:cNvSpPr/>
                      <wps:spPr>
                        <a:xfrm>
                          <a:off x="0" y="0"/>
                          <a:ext cx="2026920"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３＜低リスク＞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外出機会が多く、身体能力も高い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8,560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7</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1,915</w:t>
                            </w:r>
                            <w:r>
                              <w:rPr>
                                <w:rFonts w:hint="eastAsia" w:ascii="ＭＳ ゴシック" w:hAnsi="ＭＳ ゴシック" w:eastAsia="ＭＳ ゴシック"/>
                                <w:color w:val="000000" w:themeColor="text1"/>
                                <w:sz w:val="16"/>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4" style="mso-wrap-distance-right:9pt;mso-wrap-distance-bottom:0pt;margin-top:16.55pt;mso-position-vertical-relative:text;mso-position-horizontal-relative:text;v-text-anchor:top;position:absolute;height:59.75pt;mso-wrap-distance-top:0pt;width:159.6pt;mso-wrap-distance-left:9pt;margin-left:4.95pt;z-index:132;" o:spid="_x0000_s1192"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３＜低リスク＞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外出機会が多く、身体能力も高い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8,560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7</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1,915</w:t>
                      </w:r>
                      <w:r>
                        <w:rPr>
                          <w:rFonts w:hint="eastAsia" w:ascii="ＭＳ ゴシック" w:hAnsi="ＭＳ ゴシック" w:eastAsia="ＭＳ ゴシック"/>
                          <w:color w:val="000000" w:themeColor="text1"/>
                          <w:sz w:val="16"/>
                        </w:rPr>
                        <w:t>人</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33" behindDoc="0" locked="0" layoutInCell="1" hidden="0" allowOverlap="1">
                <wp:simplePos x="0" y="0"/>
                <wp:positionH relativeFrom="column">
                  <wp:posOffset>4158615</wp:posOffset>
                </wp:positionH>
                <wp:positionV relativeFrom="paragraph">
                  <wp:posOffset>198120</wp:posOffset>
                </wp:positionV>
                <wp:extent cx="2026920" cy="758825"/>
                <wp:effectExtent l="0" t="0" r="635" b="635"/>
                <wp:wrapNone/>
                <wp:docPr id="1193" name="正方形/長方形 25"/>
                <a:graphic xmlns:a="http://schemas.openxmlformats.org/drawingml/2006/main">
                  <a:graphicData uri="http://schemas.microsoft.com/office/word/2010/wordprocessingShape">
                    <wps:wsp>
                      <wps:cNvPr id="1193" name="正方形/長方形 25"/>
                      <wps:cNvSpPr/>
                      <wps:spPr>
                        <a:xfrm>
                          <a:off x="0" y="0"/>
                          <a:ext cx="2026920" cy="75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４＜中リスク＞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外出機会は多いが、身体能力は低下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18</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5</w:t>
                            </w:r>
                            <w:r>
                              <w:rPr>
                                <w:rFonts w:hint="default" w:ascii="ＭＳ ゴシック" w:hAnsi="ＭＳ ゴシック" w:eastAsia="ＭＳ ゴシック"/>
                                <w:color w:val="000000" w:themeColor="text1"/>
                                <w:sz w:val="16"/>
                              </w:rPr>
                              <w:t>,220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,846</w:t>
                            </w:r>
                            <w:r>
                              <w:rPr>
                                <w:rFonts w:hint="eastAsia" w:ascii="ＭＳ ゴシック" w:hAnsi="ＭＳ ゴシック" w:eastAsia="ＭＳ ゴシック"/>
                                <w:color w:val="000000" w:themeColor="text1"/>
                                <w:sz w:val="16"/>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5" style="mso-wrap-distance-right:9pt;mso-wrap-distance-bottom:0pt;margin-top:15.6pt;mso-position-vertical-relative:text;mso-position-horizontal-relative:text;v-text-anchor:top;position:absolute;height:59.75pt;mso-wrap-distance-top:0pt;width:159.6pt;mso-wrap-distance-left:9pt;margin-left:327.45pt;z-index:133;" o:spid="_x0000_s1193"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４＜中リスク＞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外出機会は多いが、身体能力は低下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18</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5</w:t>
                      </w:r>
                      <w:r>
                        <w:rPr>
                          <w:rFonts w:hint="default" w:ascii="ＭＳ ゴシック" w:hAnsi="ＭＳ ゴシック" w:eastAsia="ＭＳ ゴシック"/>
                          <w:color w:val="000000" w:themeColor="text1"/>
                          <w:sz w:val="16"/>
                        </w:rPr>
                        <w:t>,220</w:t>
                      </w:r>
                      <w:r>
                        <w:rPr>
                          <w:rFonts w:hint="eastAsia" w:ascii="ＭＳ ゴシック" w:hAnsi="ＭＳ ゴシック" w:eastAsia="ＭＳ ゴシック"/>
                          <w:color w:val="000000" w:themeColor="text1"/>
                          <w:sz w:val="16"/>
                        </w:rPr>
                        <w:t>人</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前期高齢者の約</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,846</w:t>
                      </w:r>
                      <w:r>
                        <w:rPr>
                          <w:rFonts w:hint="eastAsia" w:ascii="ＭＳ ゴシック" w:hAnsi="ＭＳ ゴシック" w:eastAsia="ＭＳ ゴシック"/>
                          <w:color w:val="000000" w:themeColor="text1"/>
                          <w:sz w:val="16"/>
                        </w:rPr>
                        <w:t>人</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60" behindDoc="0" locked="0" layoutInCell="1" hidden="0" allowOverlap="1">
                <wp:simplePos x="0" y="0"/>
                <wp:positionH relativeFrom="column">
                  <wp:posOffset>4171315</wp:posOffset>
                </wp:positionH>
                <wp:positionV relativeFrom="paragraph">
                  <wp:posOffset>227330</wp:posOffset>
                </wp:positionV>
                <wp:extent cx="1981200" cy="736600"/>
                <wp:effectExtent l="635" t="635" r="29210" b="10160"/>
                <wp:wrapNone/>
                <wp:docPr id="1194" name="フリーフォーム: 図形 2081"/>
                <a:graphic xmlns:a="http://schemas.openxmlformats.org/drawingml/2006/main">
                  <a:graphicData uri="http://schemas.microsoft.com/office/word/2010/wordprocessingShape">
                    <wps:wsp>
                      <wps:cNvPr id="1194" name="フリーフォーム: 図形 2081"/>
                      <wps:cNvSpPr/>
                      <wps:spPr>
                        <a:xfrm flipV="1">
                          <a:off x="0" y="0"/>
                          <a:ext cx="1981200"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81" style="flip:y;mso-wrap-distance-right:9pt;mso-wrap-distance-bottom:0pt;margin-top:17.89pt;mso-position-vertical-relative:text;mso-position-horizontal-relative:text;position:absolute;height:58pt;mso-wrap-distance-top:0pt;width:156pt;mso-wrap-distance-left:9pt;margin-left:328.45pt;z-index:160;" o:spid="_x0000_s1194"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59" behindDoc="0" locked="0" layoutInCell="1" hidden="0" allowOverlap="1">
                <wp:simplePos x="0" y="0"/>
                <wp:positionH relativeFrom="column">
                  <wp:posOffset>84455</wp:posOffset>
                </wp:positionH>
                <wp:positionV relativeFrom="paragraph">
                  <wp:posOffset>231140</wp:posOffset>
                </wp:positionV>
                <wp:extent cx="1981200" cy="736600"/>
                <wp:effectExtent l="635" t="635" r="29845" b="10160"/>
                <wp:wrapNone/>
                <wp:docPr id="1195" name="フリーフォーム: 図形 2080"/>
                <a:graphic xmlns:a="http://schemas.openxmlformats.org/drawingml/2006/main">
                  <a:graphicData uri="http://schemas.microsoft.com/office/word/2010/wordprocessingShape">
                    <wps:wsp>
                      <wps:cNvPr id="1195" name="フリーフォーム: 図形 2080"/>
                      <wps:cNvSpPr/>
                      <wps:spPr>
                        <a:xfrm flipH="1" flipV="1">
                          <a:off x="0" y="0"/>
                          <a:ext cx="1981200"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80" style="flip:x y;mso-wrap-distance-right:9pt;mso-wrap-distance-bottom:0pt;margin-top:18.2pt;mso-position-vertical-relative:text;mso-position-horizontal-relative:text;position:absolute;height:58pt;mso-wrap-distance-top:0pt;width:156pt;mso-wrap-distance-left:9pt;margin-left:6.65pt;z-index:159;" o:spid="_x0000_s1195"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36" behindDoc="0" locked="0" layoutInCell="1" hidden="0" allowOverlap="1">
                <wp:simplePos x="0" y="0"/>
                <wp:positionH relativeFrom="column">
                  <wp:posOffset>2711450</wp:posOffset>
                </wp:positionH>
                <wp:positionV relativeFrom="paragraph">
                  <wp:posOffset>49530</wp:posOffset>
                </wp:positionV>
                <wp:extent cx="825500" cy="181610"/>
                <wp:effectExtent l="635" t="635" r="29845" b="10795"/>
                <wp:wrapNone/>
                <wp:docPr id="1196" name="角丸四角形 3"/>
                <a:graphic xmlns:a="http://schemas.openxmlformats.org/drawingml/2006/main">
                  <a:graphicData uri="http://schemas.microsoft.com/office/word/2010/wordprocessingShape">
                    <wps:wsp>
                      <wps:cNvPr id="1196" name="角丸四角形 3"/>
                      <wps:cNvSpPr/>
                      <wps:spPr>
                        <a:xfrm>
                          <a:off x="0" y="0"/>
                          <a:ext cx="825500" cy="18161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外出機会が多い</w:t>
                            </w:r>
                          </w:p>
                        </w:txbxContent>
                      </wps:txbx>
                      <wps:bodyPr vertOverflow="clip" horzOverflow="clip" wrap="square" rtlCol="0" anchor="t"/>
                    </wps:wsp>
                  </a:graphicData>
                </a:graphic>
              </wp:anchor>
            </w:drawing>
          </mc:Choice>
          <mc:Fallback>
            <w:pict>
              <v:roundrect id="角丸四角形 3" style="mso-wrap-distance-right:9pt;mso-wrap-distance-bottom:0pt;margin-top:3.9pt;mso-position-vertical-relative:text;mso-position-horizontal-relative:text;v-text-anchor:top;position:absolute;height:14.3pt;mso-wrap-distance-top:0pt;width:65pt;mso-wrap-distance-left:9pt;margin-left:213.5pt;z-index:136;" o:spid="_x0000_s1196" o:allowincell="t" o:allowoverlap="t" filled="t" fillcolor="#4472c4 [320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外出機会が多い</w:t>
                      </w:r>
                    </w:p>
                  </w:txbxContent>
                </v:textbox>
                <v:imagedata o:title=""/>
                <w10:wrap type="none" anchorx="text" anchory="text"/>
              </v:roundrect>
            </w:pict>
          </mc:Fallback>
        </mc:AlternateContent>
      </w:r>
    </w:p>
    <w:p>
      <w:pPr>
        <w:pStyle w:val="0"/>
        <w:rPr>
          <w:rFonts w:hint="default"/>
        </w:rPr>
      </w:pPr>
      <w:r>
        <w:rPr>
          <w:rFonts w:hint="default"/>
        </w:rPr>
        <mc:AlternateContent>
          <mc:Choice Requires="wps">
            <w:drawing>
              <wp:anchor distT="0" distB="0" distL="114300" distR="114300" simplePos="0" relativeHeight="161" behindDoc="0" locked="0" layoutInCell="1" hidden="0" allowOverlap="1">
                <wp:simplePos x="0" y="0"/>
                <wp:positionH relativeFrom="column">
                  <wp:posOffset>3153410</wp:posOffset>
                </wp:positionH>
                <wp:positionV relativeFrom="paragraph">
                  <wp:posOffset>130810</wp:posOffset>
                </wp:positionV>
                <wp:extent cx="0" cy="5293360"/>
                <wp:effectExtent l="635" t="84455" r="1270" b="85090"/>
                <wp:wrapNone/>
                <wp:docPr id="1197" name="直線矢印コネクタ 2082"/>
                <a:graphic xmlns:a="http://schemas.openxmlformats.org/drawingml/2006/main">
                  <a:graphicData uri="http://schemas.microsoft.com/office/word/2010/wordprocessingShape">
                    <wps:wsp>
                      <wps:cNvPr id="1197" name="直線矢印コネクタ 2082"/>
                      <wps:cNvCnPr/>
                      <wps:spPr>
                        <a:xfrm rot="16200000" flipH="1">
                          <a:off x="0" y="0"/>
                          <a:ext cx="0" cy="5293360"/>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082" style="flip:x;mso-wrap-distance-right:9pt;mso-wrap-distance-bottom:0pt;margin-top:10.3pt;mso-position-vertical-relative:text;mso-position-horizontal-relative:text;position:absolute;height:416.8pt;mso-wrap-distance-top:0pt;width:0pt;mso-wrap-distance-left:9pt;margin-left:248.3pt;z-index:161;rotation:-270;" o:spid="_x0000_s1197" o:allowincell="t" o:allowoverlap="t" filled="f" stroked="t" strokecolor="#4472c4 [3204]" strokeweight="3pt" o:spt="32" type="#_x0000_t32">
                <v:fill/>
                <v:stroke linestyle="single" miterlimit="8" endcap="flat" dashstyle="solid" filltype="solid" startarrow="open" startarrowwidth="medium" startarrowlength="medium" endarrow="open" endarrowwidth="medium" endarrowlength="medium"/>
                <v:imagedata o:title=""/>
                <w10:wrap type="none" anchorx="text" anchory="text"/>
              </v:shape>
            </w:pict>
          </mc:Fallback>
        </mc:AlternateContent>
      </w:r>
    </w:p>
    <w:p>
      <w:pPr>
        <w:pStyle w:val="0"/>
        <w:rPr>
          <w:rFonts w:hint="default"/>
        </w:rPr>
      </w:pP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82</w:t>
      </w:r>
      <w:r>
        <w:rPr>
          <w:rFonts w:hint="eastAsia" w:ascii="ＭＳ ゴシック" w:hAnsi="ＭＳ ゴシック" w:eastAsia="ＭＳ ゴシック"/>
          <w:sz w:val="21"/>
        </w:rPr>
        <w:t>：対象別の外出場所</w:t>
      </w:r>
    </w:p>
    <w:p>
      <w:pPr>
        <w:pStyle w:val="0"/>
        <w:ind w:firstLine="2880" w:firstLineChars="1200"/>
        <w:jc w:val="both"/>
        <w:rPr>
          <w:rFonts w:hint="default" w:ascii="ＭＳ ゴシック" w:hAnsi="ＭＳ ゴシック" w:eastAsia="ＭＳ ゴシック"/>
          <w:sz w:val="21"/>
        </w:rPr>
      </w:pPr>
      <w:r>
        <w:rPr>
          <w:rFonts w:hint="default"/>
        </w:rPr>
        <mc:AlternateContent>
          <mc:Choice Requires="wps">
            <w:drawing>
              <wp:anchor distT="0" distB="0" distL="114300" distR="114300" simplePos="0" relativeHeight="151" behindDoc="0" locked="0" layoutInCell="1" hidden="0" allowOverlap="1">
                <wp:simplePos x="0" y="0"/>
                <wp:positionH relativeFrom="column">
                  <wp:posOffset>2716530</wp:posOffset>
                </wp:positionH>
                <wp:positionV relativeFrom="paragraph">
                  <wp:posOffset>101600</wp:posOffset>
                </wp:positionV>
                <wp:extent cx="825500" cy="181610"/>
                <wp:effectExtent l="635" t="635" r="29845" b="10795"/>
                <wp:wrapNone/>
                <wp:docPr id="1198" name="角丸四角形 3"/>
                <a:graphic xmlns:a="http://schemas.openxmlformats.org/drawingml/2006/main">
                  <a:graphicData uri="http://schemas.microsoft.com/office/word/2010/wordprocessingShape">
                    <wps:wsp>
                      <wps:cNvPr id="1198" name="角丸四角形 3"/>
                      <wps:cNvSpPr/>
                      <wps:spPr>
                        <a:xfrm>
                          <a:off x="0" y="0"/>
                          <a:ext cx="825500" cy="18161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外出機会が少ない</w:t>
                            </w:r>
                          </w:p>
                        </w:txbxContent>
                      </wps:txbx>
                      <wps:bodyPr vertOverflow="clip" horzOverflow="clip" wrap="square" rtlCol="0" anchor="t"/>
                    </wps:wsp>
                  </a:graphicData>
                </a:graphic>
              </wp:anchor>
            </w:drawing>
          </mc:Choice>
          <mc:Fallback>
            <w:pict>
              <v:roundrect id="角丸四角形 3" style="mso-wrap-distance-right:9pt;mso-wrap-distance-bottom:0pt;margin-top:8pt;mso-position-vertical-relative:text;mso-position-horizontal-relative:text;v-text-anchor:top;position:absolute;height:14.3pt;mso-wrap-distance-top:0pt;width:65pt;mso-wrap-distance-left:9pt;margin-left:213.9pt;z-index:151;" o:spid="_x0000_s1198" o:allowincell="t" o:allowoverlap="t" filled="t" fillcolor="#4472c4 [320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外出機会が少ない</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68" behindDoc="0" locked="0" layoutInCell="1" hidden="0" allowOverlap="1">
                <wp:simplePos x="0" y="0"/>
                <wp:positionH relativeFrom="column">
                  <wp:posOffset>88900</wp:posOffset>
                </wp:positionH>
                <wp:positionV relativeFrom="paragraph">
                  <wp:posOffset>26035</wp:posOffset>
                </wp:positionV>
                <wp:extent cx="2069465" cy="736600"/>
                <wp:effectExtent l="635" t="0" r="29845" b="10795"/>
                <wp:wrapNone/>
                <wp:docPr id="1199" name="フリーフォーム: 図形 2091"/>
                <a:graphic xmlns:a="http://schemas.openxmlformats.org/drawingml/2006/main">
                  <a:graphicData uri="http://schemas.microsoft.com/office/word/2010/wordprocessingShape">
                    <wps:wsp>
                      <wps:cNvPr id="1199" name="フリーフォーム: 図形 2091"/>
                      <wps:cNvSpPr/>
                      <wps:spPr>
                        <a:xfrm flipH="1">
                          <a:off x="0" y="0"/>
                          <a:ext cx="2069465"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91" style="flip:x;mso-wrap-distance-right:9pt;mso-wrap-distance-bottom:0pt;margin-top:2.04pt;mso-position-vertical-relative:text;mso-position-horizontal-relative:text;position:absolute;height:58pt;mso-wrap-distance-top:0pt;width:162.94pt;mso-wrap-distance-left:9pt;margin-left:7pt;z-index:168;" o:spid="_x0000_s1199"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64" behindDoc="0" locked="0" layoutInCell="1" hidden="0" allowOverlap="1">
                <wp:simplePos x="0" y="0"/>
                <wp:positionH relativeFrom="column">
                  <wp:posOffset>4061460</wp:posOffset>
                </wp:positionH>
                <wp:positionV relativeFrom="paragraph">
                  <wp:posOffset>15240</wp:posOffset>
                </wp:positionV>
                <wp:extent cx="2530475" cy="877570"/>
                <wp:effectExtent l="0" t="0" r="635" b="635"/>
                <wp:wrapNone/>
                <wp:docPr id="1200" name="正方形/長方形 2087"/>
                <a:graphic xmlns:a="http://schemas.openxmlformats.org/drawingml/2006/main">
                  <a:graphicData uri="http://schemas.microsoft.com/office/word/2010/wordprocessingShape">
                    <wps:wsp>
                      <wps:cNvPr id="1200" name="正方形/長方形 2087"/>
                      <wps:cNvSpPr/>
                      <wps:spPr>
                        <a:xfrm>
                          <a:off x="0" y="0"/>
                          <a:ext cx="2530475" cy="877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２＜高リスク＞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【最も介護予防に取り組むべき高齢者層】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外出機会が少なく、身体能力も低下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w:t>
                            </w:r>
                          </w:p>
                        </w:txbxContent>
                      </wps:txbx>
                      <wps:bodyPr rot="0" vertOverflow="overflow" horzOverflow="overflow" wrap="square" numCol="1" spcCol="0" rtlCol="0" fromWordArt="0" anchor="t" anchorCtr="0" forceAA="0" compatLnSpc="1"/>
                    </wps:wsp>
                  </a:graphicData>
                </a:graphic>
              </wp:anchor>
            </w:drawing>
          </mc:Choice>
          <mc:Fallback>
            <w:pict>
              <v:rect id="正方形/長方形 2087" style="mso-wrap-distance-right:9pt;mso-wrap-distance-bottom:0pt;margin-top:1.2pt;mso-position-vertical-relative:text;mso-position-horizontal-relative:text;v-text-anchor:top;position:absolute;height:69.09pt;mso-wrap-distance-top:0pt;width:199.25pt;mso-wrap-distance-left:9pt;margin-left:319.8pt;z-index:164;" o:spid="_x0000_s1200"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２＜高リスク＞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【最も介護予防に取り組むべき高齢者層】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外出機会が少なく、身体能力も低下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5</w:t>
                      </w:r>
                      <w:r>
                        <w:rPr>
                          <w:rFonts w:hint="eastAsia" w:ascii="ＭＳ ゴシック" w:hAnsi="ＭＳ ゴシック" w:eastAsia="ＭＳ ゴシック"/>
                          <w:color w:val="000000" w:themeColor="text1"/>
                          <w:sz w:val="16"/>
                        </w:rPr>
                        <w:t>％</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63" behindDoc="0" locked="0" layoutInCell="1" hidden="0" allowOverlap="1">
                <wp:simplePos x="0" y="0"/>
                <wp:positionH relativeFrom="column">
                  <wp:posOffset>89535</wp:posOffset>
                </wp:positionH>
                <wp:positionV relativeFrom="paragraph">
                  <wp:posOffset>37465</wp:posOffset>
                </wp:positionV>
                <wp:extent cx="2282190" cy="746125"/>
                <wp:effectExtent l="0" t="0" r="635" b="635"/>
                <wp:wrapNone/>
                <wp:docPr id="1201" name="正方形/長方形 2086"/>
                <a:graphic xmlns:a="http://schemas.openxmlformats.org/drawingml/2006/main">
                  <a:graphicData uri="http://schemas.microsoft.com/office/word/2010/wordprocessingShape">
                    <wps:wsp>
                      <wps:cNvPr id="1201" name="正方形/長方形 2086"/>
                      <wps:cNvSpPr/>
                      <wps:spPr>
                        <a:xfrm>
                          <a:off x="0" y="0"/>
                          <a:ext cx="2282190" cy="746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１＜中リスク＞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【閉じこもり予防すべき高齢者層】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外出機会は少ないが、身体能力が高い</w:t>
                            </w:r>
                          </w:p>
                          <w:p>
                            <w:pPr>
                              <w:pStyle w:val="0"/>
                              <w:spacing w:line="240" w:lineRule="exact"/>
                              <w:rPr>
                                <w:rFonts w:hint="default"/>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13</w:t>
                            </w:r>
                            <w:r>
                              <w:rPr>
                                <w:rFonts w:hint="eastAsia" w:ascii="ＭＳ ゴシック" w:hAnsi="ＭＳ ゴシック" w:eastAsia="ＭＳ ゴシック"/>
                                <w:color w:val="000000" w:themeColor="text1"/>
                                <w:sz w:val="16"/>
                              </w:rPr>
                              <w:t>％</w:t>
                            </w:r>
                          </w:p>
                        </w:txbxContent>
                      </wps:txbx>
                      <wps:bodyPr rot="0" vertOverflow="overflow" horzOverflow="overflow" wrap="square" numCol="1" spcCol="0" rtlCol="0" fromWordArt="0" anchor="t" anchorCtr="0" forceAA="0" compatLnSpc="1"/>
                    </wps:wsp>
                  </a:graphicData>
                </a:graphic>
              </wp:anchor>
            </w:drawing>
          </mc:Choice>
          <mc:Fallback>
            <w:pict>
              <v:rect id="正方形/長方形 2086" style="mso-wrap-distance-right:9pt;mso-wrap-distance-bottom:0pt;margin-top:2.95pt;mso-position-vertical-relative:text;mso-position-horizontal-relative:text;v-text-anchor:top;position:absolute;height:58.75pt;mso-wrap-distance-top:0pt;width:179.7pt;mso-wrap-distance-left:9pt;margin-left:7.05pt;z-index:163;" o:spid="_x0000_s1201"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１＜中リスク＞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【閉じこもり予防すべき高齢者層】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外出機会は少ないが、身体能力が高い</w:t>
                      </w:r>
                    </w:p>
                    <w:p>
                      <w:pPr>
                        <w:pStyle w:val="0"/>
                        <w:spacing w:line="240" w:lineRule="exact"/>
                        <w:rPr>
                          <w:rFonts w:hint="default"/>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13</w:t>
                      </w:r>
                      <w:r>
                        <w:rPr>
                          <w:rFonts w:hint="eastAsia" w:ascii="ＭＳ ゴシック" w:hAnsi="ＭＳ ゴシック" w:eastAsia="ＭＳ ゴシック"/>
                          <w:color w:val="000000" w:themeColor="text1"/>
                          <w:sz w:val="16"/>
                        </w:rPr>
                        <w:t>％</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67" behindDoc="0" locked="0" layoutInCell="1" hidden="0" allowOverlap="1">
                <wp:simplePos x="0" y="0"/>
                <wp:positionH relativeFrom="column">
                  <wp:posOffset>4069715</wp:posOffset>
                </wp:positionH>
                <wp:positionV relativeFrom="paragraph">
                  <wp:posOffset>31115</wp:posOffset>
                </wp:positionV>
                <wp:extent cx="2069465" cy="736600"/>
                <wp:effectExtent l="635" t="0" r="29210" b="10795"/>
                <wp:wrapNone/>
                <wp:docPr id="1202" name="フリーフォーム: 図形 2090"/>
                <a:graphic xmlns:a="http://schemas.openxmlformats.org/drawingml/2006/main">
                  <a:graphicData uri="http://schemas.microsoft.com/office/word/2010/wordprocessingShape">
                    <wps:wsp>
                      <wps:cNvPr id="1202" name="フリーフォーム: 図形 2090"/>
                      <wps:cNvSpPr/>
                      <wps:spPr>
                        <a:xfrm>
                          <a:off x="0" y="0"/>
                          <a:ext cx="2069465"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090" style="mso-wrap-distance-right:9pt;mso-wrap-distance-bottom:0pt;margin-top:2.4500000000000002pt;mso-position-vertical-relative:text;mso-position-horizontal-relative:text;position:absolute;height:58pt;mso-wrap-distance-top:0pt;width:162.94pt;mso-wrap-distance-left:9pt;margin-left:320.45pt;z-index:167;" o:spid="_x0000_s1202"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62" behindDoc="0" locked="0" layoutInCell="1" hidden="0" allowOverlap="1">
                <wp:simplePos x="0" y="0"/>
                <wp:positionH relativeFrom="column">
                  <wp:posOffset>91440</wp:posOffset>
                </wp:positionH>
                <wp:positionV relativeFrom="paragraph">
                  <wp:posOffset>23495</wp:posOffset>
                </wp:positionV>
                <wp:extent cx="6055360" cy="3957320"/>
                <wp:effectExtent l="635" t="635" r="29845" b="10795"/>
                <wp:wrapNone/>
                <wp:docPr id="1203" name="正方形/長方形 2084"/>
                <a:graphic xmlns:a="http://schemas.openxmlformats.org/drawingml/2006/main">
                  <a:graphicData uri="http://schemas.microsoft.com/office/word/2010/wordprocessingShape">
                    <wps:wsp>
                      <wps:cNvPr id="1203" name="正方形/長方形 2084"/>
                      <wps:cNvSpPr/>
                      <wps:spPr>
                        <a:xfrm>
                          <a:off x="0" y="0"/>
                          <a:ext cx="6055360" cy="39573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84" style="mso-wrap-distance-right:9pt;mso-wrap-distance-bottom:0pt;margin-top:1.85pt;mso-position-vertical-relative:text;mso-position-horizontal-relative:text;position:absolute;height:311.60000000000002pt;mso-wrap-distance-top:0pt;width:476.8pt;mso-wrap-distance-left:9pt;margin-left:7.2pt;z-index:162;" o:spid="_x0000_s1203" o:allowincell="t" o:allowoverlap="t" filled="f" stroked="t" strokecolor="#000000 [3213]" strokeweight="1.5pt" o:spt="1">
                <v:fill/>
                <v:stroke linestyle="single" miterlimit="8" endcap="flat" dashstyle="solid" filltype="solid"/>
                <v:textbox style="layout-flow:horizontal;"/>
                <v:imagedata o:title=""/>
                <w10:wrap type="none" anchorx="text" anchory="text"/>
              </v:rect>
            </w:pict>
          </mc:Fallback>
        </mc:AlternateContent>
      </w:r>
    </w:p>
    <w:p>
      <w:pPr>
        <w:pStyle w:val="0"/>
        <w:jc w:val="center"/>
        <w:rPr>
          <w:rFonts w:hint="default"/>
        </w:rPr>
      </w:pPr>
      <w:r>
        <w:rPr>
          <w:rFonts w:hint="default"/>
        </w:rPr>
        <mc:AlternateContent>
          <mc:Choice Requires="wps">
            <w:drawing>
              <wp:anchor distT="0" distB="0" distL="114300" distR="114300" simplePos="0" relativeHeight="157" behindDoc="0" locked="0" layoutInCell="1" hidden="0" allowOverlap="1">
                <wp:simplePos x="0" y="0"/>
                <wp:positionH relativeFrom="column">
                  <wp:posOffset>3121660</wp:posOffset>
                </wp:positionH>
                <wp:positionV relativeFrom="paragraph">
                  <wp:posOffset>104140</wp:posOffset>
                </wp:positionV>
                <wp:extent cx="0" cy="3298190"/>
                <wp:effectExtent l="84455" t="635" r="94615" b="1270"/>
                <wp:wrapNone/>
                <wp:docPr id="1204" name="直線矢印コネクタ 2069"/>
                <a:graphic xmlns:a="http://schemas.openxmlformats.org/drawingml/2006/main">
                  <a:graphicData uri="http://schemas.microsoft.com/office/word/2010/wordprocessingShape">
                    <wps:wsp>
                      <wps:cNvPr id="1204" name="直線矢印コネクタ 2069"/>
                      <wps:cNvCnPr/>
                      <wps:spPr>
                        <a:xfrm>
                          <a:off x="0" y="0"/>
                          <a:ext cx="0" cy="3298190"/>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069" style="mso-wrap-distance-right:9pt;mso-wrap-distance-bottom:0pt;margin-top:8.19pt;mso-position-vertical-relative:text;mso-position-horizontal-relative:text;position:absolute;height:259.7pt;mso-wrap-distance-top:0pt;width:0pt;mso-wrap-distance-left:9pt;margin-left:245.8pt;z-index:157;" o:spid="_x0000_s1204" o:allowincell="t" o:allowoverlap="t" filled="f" stroked="t" strokecolor="#4472c4 [3204]" strokeweight="3pt" o:spt="32" type="#_x0000_t32">
                <v:fill/>
                <v:stroke linestyle="single" miterlimit="8" endcap="flat" dashstyle="solid" filltype="solid" startarrow="open" startarrowwidth="medium" startarrowlength="medium" endarrow="open" endarrowwidth="medium" endarrowlength="medium"/>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74" behindDoc="0" locked="0" layoutInCell="1" hidden="0" allowOverlap="1">
                <wp:simplePos x="0" y="0"/>
                <wp:positionH relativeFrom="column">
                  <wp:posOffset>2240915</wp:posOffset>
                </wp:positionH>
                <wp:positionV relativeFrom="paragraph">
                  <wp:posOffset>81280</wp:posOffset>
                </wp:positionV>
                <wp:extent cx="2771775" cy="1410970"/>
                <wp:effectExtent l="635" t="635" r="29845" b="10795"/>
                <wp:wrapNone/>
                <wp:docPr id="1205" name="正方形/長方形 2097"/>
                <a:graphic xmlns:a="http://schemas.openxmlformats.org/drawingml/2006/main">
                  <a:graphicData uri="http://schemas.microsoft.com/office/word/2010/wordprocessingShape">
                    <wps:wsp>
                      <wps:cNvPr id="1205" name="正方形/長方形 2097"/>
                      <wps:cNvSpPr/>
                      <wps:spPr>
                        <a:xfrm>
                          <a:off x="0" y="0"/>
                          <a:ext cx="2771775" cy="1410970"/>
                        </a:xfrm>
                        <a:custGeom>
                          <a:avLst/>
                          <a:gdLst>
                            <a:gd name="connsiteX0" fmla="*/ 0 w 2274468"/>
                            <a:gd name="connsiteY0" fmla="*/ 0 h 1411503"/>
                            <a:gd name="connsiteX1" fmla="*/ 2274468 w 2274468"/>
                            <a:gd name="connsiteY1" fmla="*/ 0 h 1411503"/>
                            <a:gd name="connsiteX2" fmla="*/ 2274468 w 2274468"/>
                            <a:gd name="connsiteY2" fmla="*/ 1411503 h 1411503"/>
                            <a:gd name="connsiteX3" fmla="*/ 0 w 2274468"/>
                            <a:gd name="connsiteY3" fmla="*/ 1411503 h 1411503"/>
                            <a:gd name="connsiteX4" fmla="*/ 0 w 2274468"/>
                            <a:gd name="connsiteY4" fmla="*/ 0 h 1411503"/>
                            <a:gd name="connsiteX0" fmla="*/ 0 w 2274468"/>
                            <a:gd name="connsiteY0" fmla="*/ 0 h 1411503"/>
                            <a:gd name="connsiteX1" fmla="*/ 2274468 w 2274468"/>
                            <a:gd name="connsiteY1" fmla="*/ 0 h 1411503"/>
                            <a:gd name="connsiteX2" fmla="*/ 2274468 w 2274468"/>
                            <a:gd name="connsiteY2" fmla="*/ 1411503 h 1411503"/>
                            <a:gd name="connsiteX3" fmla="*/ 1631290 w 2274468"/>
                            <a:gd name="connsiteY3" fmla="*/ 1397203 h 1411503"/>
                            <a:gd name="connsiteX4" fmla="*/ 0 w 2274468"/>
                            <a:gd name="connsiteY4" fmla="*/ 1411503 h 1411503"/>
                            <a:gd name="connsiteX5" fmla="*/ 0 w 2274468"/>
                            <a:gd name="connsiteY5"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7315 w 2281783"/>
                            <a:gd name="connsiteY4" fmla="*/ 1411503 h 1411503"/>
                            <a:gd name="connsiteX5" fmla="*/ 0 w 2281783"/>
                            <a:gd name="connsiteY5" fmla="*/ 329184 h 1411503"/>
                            <a:gd name="connsiteX6" fmla="*/ 7315 w 2281783"/>
                            <a:gd name="connsiteY6"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1645779 w 2281783"/>
                            <a:gd name="connsiteY4" fmla="*/ 408941 h 1411503"/>
                            <a:gd name="connsiteX5" fmla="*/ 0 w 2281783"/>
                            <a:gd name="connsiteY5" fmla="*/ 329184 h 1411503"/>
                            <a:gd name="connsiteX6" fmla="*/ 7315 w 2281783"/>
                            <a:gd name="connsiteY6"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1645779 w 2281783"/>
                            <a:gd name="connsiteY4" fmla="*/ 408941 h 1411503"/>
                            <a:gd name="connsiteX5" fmla="*/ 0 w 2281783"/>
                            <a:gd name="connsiteY5" fmla="*/ 329184 h 1411503"/>
                            <a:gd name="connsiteX6" fmla="*/ 7315 w 2281783"/>
                            <a:gd name="connsiteY6"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1645779 w 2281783"/>
                            <a:gd name="connsiteY4" fmla="*/ 408941 h 1411503"/>
                            <a:gd name="connsiteX5" fmla="*/ 0 w 2281783"/>
                            <a:gd name="connsiteY5" fmla="*/ 329184 h 1411503"/>
                            <a:gd name="connsiteX6" fmla="*/ 7315 w 2281783"/>
                            <a:gd name="connsiteY6"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1704306 w 2281783"/>
                            <a:gd name="connsiteY4" fmla="*/ 314672 h 1411503"/>
                            <a:gd name="connsiteX5" fmla="*/ 0 w 2281783"/>
                            <a:gd name="connsiteY5" fmla="*/ 329184 h 1411503"/>
                            <a:gd name="connsiteX6" fmla="*/ 7315 w 2281783"/>
                            <a:gd name="connsiteY6" fmla="*/ 0 h 1411503"/>
                            <a:gd name="connsiteX0" fmla="*/ 7315 w 2281783"/>
                            <a:gd name="connsiteY0" fmla="*/ 0 h 1411503"/>
                            <a:gd name="connsiteX1" fmla="*/ 2281783 w 2281783"/>
                            <a:gd name="connsiteY1" fmla="*/ 0 h 1411503"/>
                            <a:gd name="connsiteX2" fmla="*/ 2281783 w 2281783"/>
                            <a:gd name="connsiteY2" fmla="*/ 1411503 h 1411503"/>
                            <a:gd name="connsiteX3" fmla="*/ 1638605 w 2281783"/>
                            <a:gd name="connsiteY3" fmla="*/ 1397203 h 1411503"/>
                            <a:gd name="connsiteX4" fmla="*/ 1704306 w 2281783"/>
                            <a:gd name="connsiteY4" fmla="*/ 314672 h 1411503"/>
                            <a:gd name="connsiteX5" fmla="*/ 0 w 2281783"/>
                            <a:gd name="connsiteY5" fmla="*/ 329184 h 1411503"/>
                            <a:gd name="connsiteX6" fmla="*/ 7315 w 2281783"/>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631290 w 2274468"/>
                            <a:gd name="connsiteY3" fmla="*/ 1397203 h 1411503"/>
                            <a:gd name="connsiteX4" fmla="*/ 1696991 w 2274468"/>
                            <a:gd name="connsiteY4" fmla="*/ 314672 h 1411503"/>
                            <a:gd name="connsiteX5" fmla="*/ 2897 w 2274468"/>
                            <a:gd name="connsiteY5" fmla="*/ 263322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631290 w 2274468"/>
                            <a:gd name="connsiteY3" fmla="*/ 1397203 h 1411503"/>
                            <a:gd name="connsiteX4" fmla="*/ 1713824 w 2274468"/>
                            <a:gd name="connsiteY4" fmla="*/ 252941 h 1411503"/>
                            <a:gd name="connsiteX5" fmla="*/ 2897 w 2274468"/>
                            <a:gd name="connsiteY5" fmla="*/ 263322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687401 w 2274468"/>
                            <a:gd name="connsiteY3" fmla="*/ 1411328 h 1411503"/>
                            <a:gd name="connsiteX4" fmla="*/ 1713824 w 2274468"/>
                            <a:gd name="connsiteY4" fmla="*/ 252941 h 1411503"/>
                            <a:gd name="connsiteX5" fmla="*/ 2897 w 2274468"/>
                            <a:gd name="connsiteY5" fmla="*/ 263322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13824 w 2274468"/>
                            <a:gd name="connsiteY4" fmla="*/ 252941 h 1411503"/>
                            <a:gd name="connsiteX5" fmla="*/ 2897 w 2274468"/>
                            <a:gd name="connsiteY5" fmla="*/ 263322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13824 w 2274468"/>
                            <a:gd name="connsiteY4" fmla="*/ 252941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02602 w 2274468"/>
                            <a:gd name="connsiteY4" fmla="*/ 230493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02602 w 2274468"/>
                            <a:gd name="connsiteY4" fmla="*/ 230493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25046 w 2274468"/>
                            <a:gd name="connsiteY4" fmla="*/ 247328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25046 w 2274468"/>
                            <a:gd name="connsiteY4" fmla="*/ 247328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25046 w 2274468"/>
                            <a:gd name="connsiteY4" fmla="*/ 247328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715457 w 2274468"/>
                            <a:gd name="connsiteY3" fmla="*/ 1411328 h 1411503"/>
                            <a:gd name="connsiteX4" fmla="*/ 1725046 w 2274468"/>
                            <a:gd name="connsiteY4" fmla="*/ 247328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411639 w 2274468"/>
                            <a:gd name="connsiteY3" fmla="*/ 1411328 h 1411503"/>
                            <a:gd name="connsiteX4" fmla="*/ 1725046 w 2274468"/>
                            <a:gd name="connsiteY4" fmla="*/ 247328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411639 w 2274468"/>
                            <a:gd name="connsiteY3" fmla="*/ 1411328 h 1411503"/>
                            <a:gd name="connsiteX4" fmla="*/ 1435037 w 2274468"/>
                            <a:gd name="connsiteY4" fmla="*/ 241716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411639 w 2274468"/>
                            <a:gd name="connsiteY3" fmla="*/ 1411328 h 1411503"/>
                            <a:gd name="connsiteX4" fmla="*/ 1421226 w 2274468"/>
                            <a:gd name="connsiteY4" fmla="*/ 230492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411639 w 2274468"/>
                            <a:gd name="connsiteY3" fmla="*/ 1411328 h 1411503"/>
                            <a:gd name="connsiteX4" fmla="*/ 1412020 w 2274468"/>
                            <a:gd name="connsiteY4" fmla="*/ 241716 h 1411503"/>
                            <a:gd name="connsiteX5" fmla="*/ 3390 w 2274468"/>
                            <a:gd name="connsiteY5" fmla="*/ 240874 h 1411503"/>
                            <a:gd name="connsiteX6" fmla="*/ 0 w 2274468"/>
                            <a:gd name="connsiteY6" fmla="*/ 0 h 1411503"/>
                            <a:gd name="connsiteX0" fmla="*/ 0 w 2274468"/>
                            <a:gd name="connsiteY0" fmla="*/ 0 h 1411503"/>
                            <a:gd name="connsiteX1" fmla="*/ 2274468 w 2274468"/>
                            <a:gd name="connsiteY1" fmla="*/ 0 h 1411503"/>
                            <a:gd name="connsiteX2" fmla="*/ 2274468 w 2274468"/>
                            <a:gd name="connsiteY2" fmla="*/ 1411503 h 1411503"/>
                            <a:gd name="connsiteX3" fmla="*/ 1411639 w 2274468"/>
                            <a:gd name="connsiteY3" fmla="*/ 1411328 h 1411503"/>
                            <a:gd name="connsiteX4" fmla="*/ 1412020 w 2274468"/>
                            <a:gd name="connsiteY4" fmla="*/ 241716 h 1411503"/>
                            <a:gd name="connsiteX5" fmla="*/ 3390 w 2274468"/>
                            <a:gd name="connsiteY5" fmla="*/ 240874 h 1411503"/>
                            <a:gd name="connsiteX6" fmla="*/ 0 w 2274468"/>
                            <a:gd name="connsiteY6" fmla="*/ 0 h 1411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74468" h="1411503">
                              <a:moveTo>
                                <a:pt x="0" y="0"/>
                              </a:moveTo>
                              <a:lnTo>
                                <a:pt x="2274468" y="0"/>
                              </a:lnTo>
                              <a:lnTo>
                                <a:pt x="2274468" y="1411503"/>
                              </a:lnTo>
                              <a:lnTo>
                                <a:pt x="1411639" y="1411328"/>
                              </a:lnTo>
                              <a:cubicBezTo>
                                <a:pt x="1414030" y="1081907"/>
                                <a:pt x="1409629" y="571137"/>
                                <a:pt x="1412020" y="241716"/>
                              </a:cubicBezTo>
                              <a:cubicBezTo>
                                <a:pt x="854472" y="230496"/>
                                <a:pt x="1690241" y="241360"/>
                                <a:pt x="3390" y="240874"/>
                              </a:cubicBezTo>
                              <a:cubicBezTo>
                                <a:pt x="2424" y="153100"/>
                                <a:pt x="966" y="87774"/>
                                <a:pt x="0" y="0"/>
                              </a:cubicBezTo>
                              <a:close/>
                            </a:path>
                          </a:pathLst>
                        </a:cu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正方形/長方形 2097" style="mso-wrap-distance-right:9pt;mso-wrap-distance-bottom:0pt;margin-top:6.4pt;mso-position-vertical-relative:text;mso-position-horizontal-relative:text;position:absolute;height:111.1pt;mso-wrap-distance-top:0pt;width:218.25pt;mso-wrap-distance-left:9pt;margin-left:176.45pt;z-index:174;" o:spid="_x0000_s1205" o:allowincell="t" o:allowoverlap="t" filled="t" fillcolor="#ffffff [3212]" stroked="t" strokecolor="#4472c4 [3204]" strokeweight="1pt" o:spt="100" path="m0,0l0,0l21600,0l21600,21600l13406,21597c13429,16556,13387,8740,13410,3699c8115,3527,16052,3693,32,3686c23,2343,9,1343,0,0xe">
                <v:path textboxrect="0,0,21600,21600" arrowok="true" o:connecttype="custom" o:connectlocs="0,0;21600,0;21600,21600;0,21600;0,0;0,0;69,0" o:connectangles="0,0,0,0,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69" behindDoc="0" locked="0" layoutInCell="1" hidden="0" allowOverlap="1">
                <wp:simplePos x="0" y="0"/>
                <wp:positionH relativeFrom="column">
                  <wp:posOffset>895985</wp:posOffset>
                </wp:positionH>
                <wp:positionV relativeFrom="paragraph">
                  <wp:posOffset>83185</wp:posOffset>
                </wp:positionV>
                <wp:extent cx="1264285" cy="599440"/>
                <wp:effectExtent l="635" t="635" r="29845" b="10795"/>
                <wp:wrapNone/>
                <wp:docPr id="1206" name="正方形/長方形 2092"/>
                <a:graphic xmlns:a="http://schemas.openxmlformats.org/drawingml/2006/main">
                  <a:graphicData uri="http://schemas.microsoft.com/office/word/2010/wordprocessingShape">
                    <wps:wsp>
                      <wps:cNvPr id="1206" name="正方形/長方形 2092"/>
                      <wps:cNvSpPr/>
                      <wps:spPr>
                        <a:xfrm>
                          <a:off x="0" y="0"/>
                          <a:ext cx="1264285" cy="59944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92" style="mso-wrap-distance-right:9pt;mso-wrap-distance-bottom:0pt;margin-top:6.55pt;mso-position-vertical-relative:text;mso-position-horizontal-relative:text;position:absolute;height:47.2pt;mso-wrap-distance-top:0pt;width:99.55pt;mso-wrap-distance-left:9pt;margin-left:70.55pt;z-index:169;" o:spid="_x0000_s1206"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r>
        <w:rPr>
          <w:rFonts w:hint="eastAsia"/>
        </w:rPr>
        <mc:AlternateContent>
          <mc:Choice Requires="wps">
            <w:drawing>
              <wp:anchor distT="0" distB="0" distL="114300" distR="114300" simplePos="0" relativeHeight="175" behindDoc="0" locked="0" layoutInCell="1" hidden="0" allowOverlap="1">
                <wp:simplePos x="0" y="0"/>
                <wp:positionH relativeFrom="column">
                  <wp:posOffset>1049020</wp:posOffset>
                </wp:positionH>
                <wp:positionV relativeFrom="paragraph">
                  <wp:posOffset>36830</wp:posOffset>
                </wp:positionV>
                <wp:extent cx="1235710" cy="586740"/>
                <wp:effectExtent l="0" t="0" r="635" b="635"/>
                <wp:wrapNone/>
                <wp:docPr id="1207" name="正方形/長方形 2098"/>
                <a:graphic xmlns:a="http://schemas.openxmlformats.org/drawingml/2006/main">
                  <a:graphicData uri="http://schemas.microsoft.com/office/word/2010/wordprocessingShape">
                    <wps:wsp>
                      <wps:cNvPr id="1207" name="正方形/長方形 2098"/>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寺社・墓参り</w:t>
                            </w:r>
                          </w:p>
                        </w:txbxContent>
                      </wps:txbx>
                      <wps:bodyPr rot="0" vertOverflow="overflow" horzOverflow="overflow" wrap="square" numCol="1" spcCol="0" rtlCol="0" fromWordArt="0" anchor="t" anchorCtr="0" forceAA="0" compatLnSpc="1"/>
                    </wps:wsp>
                  </a:graphicData>
                </a:graphic>
              </wp:anchor>
            </w:drawing>
          </mc:Choice>
          <mc:Fallback>
            <w:pict>
              <v:rect id="正方形/長方形 2098" style="mso-wrap-distance-right:9pt;mso-wrap-distance-bottom:0pt;margin-top:2.9pt;mso-position-vertical-relative:text;mso-position-horizontal-relative:text;v-text-anchor:top;position:absolute;height:46.2pt;mso-wrap-distance-top:0pt;width:97.3pt;mso-wrap-distance-left:9pt;margin-left:82.6pt;z-index:175;" o:spid="_x0000_s1207"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寺社・墓参り</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73" behindDoc="0" locked="0" layoutInCell="1" hidden="0" allowOverlap="1">
                <wp:simplePos x="0" y="0"/>
                <wp:positionH relativeFrom="column">
                  <wp:posOffset>2242185</wp:posOffset>
                </wp:positionH>
                <wp:positionV relativeFrom="paragraph">
                  <wp:posOffset>167005</wp:posOffset>
                </wp:positionV>
                <wp:extent cx="1638300" cy="1096645"/>
                <wp:effectExtent l="635" t="635" r="29845" b="10795"/>
                <wp:wrapNone/>
                <wp:docPr id="1208" name="正方形/長方形 2096"/>
                <a:graphic xmlns:a="http://schemas.openxmlformats.org/drawingml/2006/main">
                  <a:graphicData uri="http://schemas.microsoft.com/office/word/2010/wordprocessingShape">
                    <wps:wsp>
                      <wps:cNvPr id="1208" name="正方形/長方形 2096"/>
                      <wps:cNvSpPr/>
                      <wps:spPr>
                        <a:xfrm>
                          <a:off x="0" y="0"/>
                          <a:ext cx="1638300" cy="109664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96" style="mso-wrap-distance-right:9pt;mso-wrap-distance-bottom:0pt;margin-top:13.15pt;mso-position-vertical-relative:text;mso-position-horizontal-relative:text;position:absolute;height:86.35pt;mso-wrap-distance-top:0pt;width:129pt;mso-wrap-distance-left:9pt;margin-left:176.55pt;z-index:173;" o:spid="_x0000_s1208"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r>
        <w:rPr>
          <w:rFonts w:hint="eastAsia"/>
        </w:rPr>
        <mc:AlternateContent>
          <mc:Choice Requires="wps">
            <w:drawing>
              <wp:anchor distT="0" distB="0" distL="114300" distR="114300" simplePos="0" relativeHeight="182" behindDoc="0" locked="0" layoutInCell="1" hidden="0" allowOverlap="1">
                <wp:simplePos x="0" y="0"/>
                <wp:positionH relativeFrom="column">
                  <wp:posOffset>2319655</wp:posOffset>
                </wp:positionH>
                <wp:positionV relativeFrom="paragraph">
                  <wp:posOffset>66040</wp:posOffset>
                </wp:positionV>
                <wp:extent cx="2190750" cy="844550"/>
                <wp:effectExtent l="0" t="0" r="635" b="635"/>
                <wp:wrapNone/>
                <wp:docPr id="1209" name="正方形/長方形 2106"/>
                <a:graphic xmlns:a="http://schemas.openxmlformats.org/drawingml/2006/main">
                  <a:graphicData uri="http://schemas.microsoft.com/office/word/2010/wordprocessingShape">
                    <wps:wsp>
                      <wps:cNvPr id="1209" name="正方形/長方形 2106"/>
                      <wps:cNvSpPr/>
                      <wps:spPr>
                        <a:xfrm>
                          <a:off x="0" y="0"/>
                          <a:ext cx="2190750" cy="844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【全状態像共通の外出場所】</w:t>
                            </w:r>
                          </w:p>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スーパー、コンビニ・</w:t>
                            </w:r>
                          </w:p>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市役所・銀行・郵便局・</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習い事・図書館・散歩</w:t>
                            </w:r>
                          </w:p>
                        </w:txbxContent>
                      </wps:txbx>
                      <wps:bodyPr rot="0" vertOverflow="overflow" horzOverflow="overflow" wrap="square" numCol="1" spcCol="0" rtlCol="0" fromWordArt="0" anchor="t" anchorCtr="0" forceAA="0" compatLnSpc="1"/>
                    </wps:wsp>
                  </a:graphicData>
                </a:graphic>
              </wp:anchor>
            </w:drawing>
          </mc:Choice>
          <mc:Fallback>
            <w:pict>
              <v:rect id="正方形/長方形 2106" style="mso-wrap-distance-right:9pt;mso-wrap-distance-bottom:0pt;margin-top:5.2pt;mso-position-vertical-relative:text;mso-position-horizontal-relative:text;v-text-anchor:top;position:absolute;height:66.5pt;mso-wrap-distance-top:0pt;width:172.5pt;mso-wrap-distance-left:9pt;margin-left:182.65pt;z-index:182;" o:spid="_x0000_s1209"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【全状態像共通の外出場所】</w:t>
                      </w:r>
                    </w:p>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スーパー、コンビニ・</w:t>
                      </w:r>
                    </w:p>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市役所・銀行・郵便局・</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習い事・図書館・散歩</w:t>
                      </w:r>
                    </w:p>
                  </w:txbxContent>
                </v:textbox>
                <v:imagedata o:title=""/>
                <w10:wrap type="none" anchorx="text" anchory="text"/>
              </v:rect>
            </w:pict>
          </mc:Fallback>
        </mc:AlternateContent>
      </w:r>
    </w:p>
    <w:p>
      <w:pPr>
        <w:pStyle w:val="0"/>
        <w:rPr>
          <w:rFonts w:hint="default"/>
        </w:rPr>
      </w:pPr>
      <w:r>
        <w:rPr>
          <w:rFonts w:hint="default"/>
        </w:rPr>
        <mc:AlternateContent>
          <mc:Choice Requires="wps">
            <w:drawing>
              <wp:anchor distT="0" distB="0" distL="114300" distR="114300" simplePos="0" relativeHeight="153" behindDoc="0" locked="0" layoutInCell="1" hidden="0" allowOverlap="1">
                <wp:simplePos x="0" y="0"/>
                <wp:positionH relativeFrom="column">
                  <wp:posOffset>179705</wp:posOffset>
                </wp:positionH>
                <wp:positionV relativeFrom="paragraph">
                  <wp:posOffset>86360</wp:posOffset>
                </wp:positionV>
                <wp:extent cx="234950" cy="787400"/>
                <wp:effectExtent l="635" t="635" r="29845" b="10795"/>
                <wp:wrapNone/>
                <wp:docPr id="1210" name="角丸四角形 3"/>
                <a:graphic xmlns:a="http://schemas.openxmlformats.org/drawingml/2006/main">
                  <a:graphicData uri="http://schemas.microsoft.com/office/word/2010/wordprocessingShape">
                    <wps:wsp>
                      <wps:cNvPr id="1210" name="角丸四角形 3"/>
                      <wps:cNvSpPr/>
                      <wps:spPr>
                        <a:xfrm>
                          <a:off x="0" y="0"/>
                          <a:ext cx="234950" cy="78740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6.8pt;mso-position-vertical-relative:text;mso-position-horizontal-relative:text;v-text-anchor:top;position:absolute;height:62pt;mso-wrap-distance-top:0pt;width:18.5pt;mso-wrap-distance-left:9pt;margin-left:14.15pt;z-index:153;" o:spid="_x0000_s1210" o:allowincell="t" o:allowoverlap="t" filled="t" fillcolor="#4472c4 [3204]" stroked="t" strokecolor="#808080 [1612]" strokeweight="0.5pt" o:spt="2" arcsize="10923f">
                <v:fill/>
                <v:stroke linestyle="single" miterlimit="8" endcap="flat" dashstyle="solid" filltype="solid"/>
                <v:textbox style="layout-flow:vertical-ideographic;">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54" behindDoc="0" locked="0" layoutInCell="1" hidden="0" allowOverlap="1">
                <wp:simplePos x="0" y="0"/>
                <wp:positionH relativeFrom="column">
                  <wp:posOffset>147955</wp:posOffset>
                </wp:positionH>
                <wp:positionV relativeFrom="paragraph">
                  <wp:posOffset>86360</wp:posOffset>
                </wp:positionV>
                <wp:extent cx="304800" cy="787400"/>
                <wp:effectExtent l="635" t="635" r="635" b="635"/>
                <wp:wrapNone/>
                <wp:docPr id="1211" name="角丸四角形 3"/>
                <a:graphic xmlns:a="http://schemas.openxmlformats.org/drawingml/2006/main">
                  <a:graphicData uri="http://schemas.microsoft.com/office/word/2010/wordprocessingShape">
                    <wps:wsp>
                      <wps:cNvPr id="1211" name="角丸四角形 3"/>
                      <wps:cNvSpPr/>
                      <wps:spPr>
                        <a:xfrm>
                          <a:off x="0" y="0"/>
                          <a:ext cx="304800" cy="7874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身体能力が高い</w:t>
                            </w:r>
                          </w:p>
                        </w:txbxContent>
                      </wps:txbx>
                      <wps:bodyPr vertOverflow="clip" horzOverflow="clip" vert="eaVert" wrap="square" rtlCol="0" anchor="t"/>
                    </wps:wsp>
                  </a:graphicData>
                </a:graphic>
              </wp:anchor>
            </w:drawing>
          </mc:Choice>
          <mc:Fallback>
            <w:pict>
              <v:roundrect id="角丸四角形 3" style="mso-wrap-distance-right:9pt;mso-wrap-distance-bottom:0pt;margin-top:6.8pt;mso-position-vertical-relative:text;mso-position-horizontal-relative:text;v-text-anchor:top;position:absolute;height:62pt;mso-wrap-distance-top:0pt;width:24pt;mso-wrap-distance-left:9pt;margin-left:11.65pt;z-index:154;" o:spid="_x0000_s1211" o:allowincell="t" o:allowoverlap="t" filled="f" stroked="f" strokecolor="#70ad47 [3209]" strokeweight="0.5pt" o:spt="2" arcsize="10923f">
                <v:fill/>
                <v:stroke linestyle="single" miterlimit="8" endcap="flat" dashstyle="solid"/>
                <v:textbox style="layout-flow:vertical-ideographic;">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身体能力が高い</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55" behindDoc="0" locked="0" layoutInCell="1" hidden="0" allowOverlap="1">
                <wp:simplePos x="0" y="0"/>
                <wp:positionH relativeFrom="column">
                  <wp:posOffset>5829935</wp:posOffset>
                </wp:positionH>
                <wp:positionV relativeFrom="paragraph">
                  <wp:posOffset>111125</wp:posOffset>
                </wp:positionV>
                <wp:extent cx="234950" cy="787400"/>
                <wp:effectExtent l="635" t="635" r="29845" b="10795"/>
                <wp:wrapNone/>
                <wp:docPr id="1212" name="角丸四角形 3"/>
                <a:graphic xmlns:a="http://schemas.openxmlformats.org/drawingml/2006/main">
                  <a:graphicData uri="http://schemas.microsoft.com/office/word/2010/wordprocessingShape">
                    <wps:wsp>
                      <wps:cNvPr id="1212" name="角丸四角形 3"/>
                      <wps:cNvSpPr/>
                      <wps:spPr>
                        <a:xfrm>
                          <a:off x="0" y="0"/>
                          <a:ext cx="234950" cy="78740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8.75pt;mso-position-vertical-relative:text;mso-position-horizontal-relative:text;v-text-anchor:top;position:absolute;height:62pt;mso-wrap-distance-top:0pt;width:18.5pt;mso-wrap-distance-left:9pt;margin-left:459.05pt;z-index:155;" o:spid="_x0000_s1212" o:allowincell="t" o:allowoverlap="t" filled="t" fillcolor="#4472c4 [3204]" stroked="t" strokecolor="#808080 [1612]" strokeweight="0.5pt" o:spt="2" arcsize="10923f">
                <v:fill/>
                <v:stroke linestyle="single" miterlimit="8" endcap="flat" dashstyle="solid" filltype="solid"/>
                <v:textbox style="layout-flow:vertical-ideographic;">
                  <w:txbxContent>
                    <w:p>
                      <w:pPr>
                        <w:pStyle w:val="0"/>
                        <w:spacing w:line="12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rPr>
                      </w:pP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156" behindDoc="0" locked="0" layoutInCell="1" hidden="0" allowOverlap="1">
                <wp:simplePos x="0" y="0"/>
                <wp:positionH relativeFrom="column">
                  <wp:posOffset>5798185</wp:posOffset>
                </wp:positionH>
                <wp:positionV relativeFrom="paragraph">
                  <wp:posOffset>111125</wp:posOffset>
                </wp:positionV>
                <wp:extent cx="304800" cy="787400"/>
                <wp:effectExtent l="635" t="635" r="635" b="635"/>
                <wp:wrapNone/>
                <wp:docPr id="1213" name="角丸四角形 3"/>
                <a:graphic xmlns:a="http://schemas.openxmlformats.org/drawingml/2006/main">
                  <a:graphicData uri="http://schemas.microsoft.com/office/word/2010/wordprocessingShape">
                    <wps:wsp>
                      <wps:cNvPr id="1213" name="角丸四角形 3"/>
                      <wps:cNvSpPr/>
                      <wps:spPr>
                        <a:xfrm>
                          <a:off x="0" y="0"/>
                          <a:ext cx="304800" cy="7874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身体能力が低い</w:t>
                            </w:r>
                          </w:p>
                        </w:txbxContent>
                      </wps:txbx>
                      <wps:bodyPr vertOverflow="clip" horzOverflow="clip" vert="eaVert" wrap="square" rtlCol="0" anchor="t"/>
                    </wps:wsp>
                  </a:graphicData>
                </a:graphic>
              </wp:anchor>
            </w:drawing>
          </mc:Choice>
          <mc:Fallback>
            <w:pict>
              <v:roundrect id="角丸四角形 3" style="mso-wrap-distance-right:9pt;mso-wrap-distance-bottom:0pt;margin-top:8.75pt;mso-position-vertical-relative:text;mso-position-horizontal-relative:text;v-text-anchor:top;position:absolute;height:62pt;mso-wrap-distance-top:0pt;width:24pt;mso-wrap-distance-left:9pt;margin-left:456.55pt;z-index:156;" o:spid="_x0000_s1213" o:allowincell="t" o:allowoverlap="t" filled="f" stroked="f" strokecolor="#70ad47 [3209]" strokeweight="0.5pt" o:spt="2" arcsize="10923f">
                <v:fill/>
                <v:stroke linestyle="single" miterlimit="8" endcap="flat" dashstyle="solid"/>
                <v:textbox style="layout-flow:vertical-ideographic;">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身体能力が低い</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81" behindDoc="0" locked="0" layoutInCell="1" hidden="0" allowOverlap="1">
                <wp:simplePos x="0" y="0"/>
                <wp:positionH relativeFrom="column">
                  <wp:posOffset>4070350</wp:posOffset>
                </wp:positionH>
                <wp:positionV relativeFrom="paragraph">
                  <wp:posOffset>97790</wp:posOffset>
                </wp:positionV>
                <wp:extent cx="1235710" cy="586740"/>
                <wp:effectExtent l="0" t="0" r="635" b="635"/>
                <wp:wrapNone/>
                <wp:docPr id="1214" name="正方形/長方形 2105"/>
                <a:graphic xmlns:a="http://schemas.openxmlformats.org/drawingml/2006/main">
                  <a:graphicData uri="http://schemas.microsoft.com/office/word/2010/wordprocessingShape">
                    <wps:wsp>
                      <wps:cNvPr id="1214" name="正方形/長方形 2105"/>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病院・薬局</w:t>
                            </w:r>
                          </w:p>
                        </w:txbxContent>
                      </wps:txbx>
                      <wps:bodyPr rot="0" vertOverflow="overflow" horzOverflow="overflow" wrap="square" numCol="1" spcCol="0" rtlCol="0" fromWordArt="0" anchor="t" anchorCtr="0" forceAA="0" compatLnSpc="1"/>
                    </wps:wsp>
                  </a:graphicData>
                </a:graphic>
              </wp:anchor>
            </w:drawing>
          </mc:Choice>
          <mc:Fallback>
            <w:pict>
              <v:rect id="正方形/長方形 2105" style="mso-wrap-distance-right:9pt;mso-wrap-distance-bottom:0pt;margin-top:7.7pt;mso-position-vertical-relative:text;mso-position-horizontal-relative:text;v-text-anchor:top;position:absolute;height:46.2pt;mso-wrap-distance-top:0pt;width:97.3pt;mso-wrap-distance-left:9pt;margin-left:320.5pt;z-index:181;" o:spid="_x0000_s1214"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病院・薬局</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170" behindDoc="0" locked="0" layoutInCell="1" hidden="0" allowOverlap="1">
                <wp:simplePos x="0" y="0"/>
                <wp:positionH relativeFrom="column">
                  <wp:posOffset>895985</wp:posOffset>
                </wp:positionH>
                <wp:positionV relativeFrom="paragraph">
                  <wp:posOffset>71120</wp:posOffset>
                </wp:positionV>
                <wp:extent cx="1264285" cy="738505"/>
                <wp:effectExtent l="635" t="635" r="29845" b="10795"/>
                <wp:wrapNone/>
                <wp:docPr id="1215" name="正方形/長方形 2093"/>
                <a:graphic xmlns:a="http://schemas.openxmlformats.org/drawingml/2006/main">
                  <a:graphicData uri="http://schemas.microsoft.com/office/word/2010/wordprocessingShape">
                    <wps:wsp>
                      <wps:cNvPr id="1215" name="正方形/長方形 2093"/>
                      <wps:cNvSpPr/>
                      <wps:spPr>
                        <a:xfrm>
                          <a:off x="0" y="0"/>
                          <a:ext cx="1264285" cy="73850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93" style="mso-wrap-distance-right:9pt;mso-wrap-distance-bottom:0pt;margin-top:5.6pt;mso-position-vertical-relative:text;mso-position-horizontal-relative:text;position:absolute;height:58.15pt;mso-wrap-distance-top:0pt;width:99.55pt;mso-wrap-distance-left:9pt;margin-left:70.55pt;z-index:170;" o:spid="_x0000_s1215"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p>
    <w:p>
      <w:pPr>
        <w:pStyle w:val="0"/>
        <w:rPr>
          <w:rFonts w:hint="default"/>
        </w:rPr>
      </w:pPr>
      <w:r>
        <w:rPr>
          <w:rFonts w:hint="eastAsia"/>
        </w:rPr>
        <mc:AlternateContent>
          <mc:Choice Requires="wps">
            <w:drawing>
              <wp:anchor distT="0" distB="0" distL="114300" distR="114300" simplePos="0" relativeHeight="176" behindDoc="0" locked="0" layoutInCell="1" hidden="0" allowOverlap="1">
                <wp:simplePos x="0" y="0"/>
                <wp:positionH relativeFrom="column">
                  <wp:posOffset>1036320</wp:posOffset>
                </wp:positionH>
                <wp:positionV relativeFrom="paragraph">
                  <wp:posOffset>16510</wp:posOffset>
                </wp:positionV>
                <wp:extent cx="1235710" cy="586740"/>
                <wp:effectExtent l="0" t="0" r="635" b="635"/>
                <wp:wrapNone/>
                <wp:docPr id="1216" name="正方形/長方形 2100"/>
                <a:graphic xmlns:a="http://schemas.openxmlformats.org/drawingml/2006/main">
                  <a:graphicData uri="http://schemas.microsoft.com/office/word/2010/wordprocessingShape">
                    <wps:wsp>
                      <wps:cNvPr id="1216" name="正方形/長方形 2100"/>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グループ</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サークル活動</w:t>
                            </w:r>
                          </w:p>
                        </w:txbxContent>
                      </wps:txbx>
                      <wps:bodyPr rot="0" vertOverflow="overflow" horzOverflow="overflow" wrap="square" numCol="1" spcCol="0" rtlCol="0" fromWordArt="0" anchor="t" anchorCtr="0" forceAA="0" compatLnSpc="1"/>
                    </wps:wsp>
                  </a:graphicData>
                </a:graphic>
              </wp:anchor>
            </w:drawing>
          </mc:Choice>
          <mc:Fallback>
            <w:pict>
              <v:rect id="正方形/長方形 2100" style="mso-wrap-distance-right:9pt;mso-wrap-distance-bottom:0pt;margin-top:1.3pt;mso-position-vertical-relative:text;mso-position-horizontal-relative:text;v-text-anchor:top;position:absolute;height:46.2pt;mso-wrap-distance-top:0pt;width:97.3pt;mso-wrap-distance-left:9pt;margin-left:81.59pt;z-index:176;" o:spid="_x0000_s1216"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グループ</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サークル活動</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79" behindDoc="0" locked="0" layoutInCell="1" hidden="0" allowOverlap="1">
                <wp:simplePos x="0" y="0"/>
                <wp:positionH relativeFrom="column">
                  <wp:posOffset>4242435</wp:posOffset>
                </wp:positionH>
                <wp:positionV relativeFrom="paragraph">
                  <wp:posOffset>169545</wp:posOffset>
                </wp:positionV>
                <wp:extent cx="770890" cy="653415"/>
                <wp:effectExtent l="635" t="635" r="29845" b="10795"/>
                <wp:wrapNone/>
                <wp:docPr id="1217" name="正方形/長方形 2104"/>
                <a:graphic xmlns:a="http://schemas.openxmlformats.org/drawingml/2006/main">
                  <a:graphicData uri="http://schemas.microsoft.com/office/word/2010/wordprocessingShape">
                    <wps:wsp>
                      <wps:cNvPr id="1217" name="正方形/長方形 2104"/>
                      <wps:cNvSpPr/>
                      <wps:spPr>
                        <a:xfrm>
                          <a:off x="0" y="0"/>
                          <a:ext cx="770890" cy="65341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104" style="mso-wrap-distance-right:9pt;mso-wrap-distance-bottom:0pt;margin-top:13.35pt;mso-position-vertical-relative:text;mso-position-horizontal-relative:text;position:absolute;height:51.45pt;mso-wrap-distance-top:0pt;width:60.7pt;mso-wrap-distance-left:9pt;margin-left:334.05pt;z-index:179;" o:spid="_x0000_s1217"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r>
        <w:rPr>
          <w:rFonts w:hint="default"/>
        </w:rPr>
        <mc:AlternateContent>
          <mc:Choice Requires="wps">
            <w:drawing>
              <wp:anchor distT="0" distB="0" distL="114300" distR="114300" simplePos="0" relativeHeight="171" behindDoc="0" locked="0" layoutInCell="1" hidden="0" allowOverlap="1">
                <wp:simplePos x="0" y="0"/>
                <wp:positionH relativeFrom="column">
                  <wp:posOffset>915670</wp:posOffset>
                </wp:positionH>
                <wp:positionV relativeFrom="paragraph">
                  <wp:posOffset>184150</wp:posOffset>
                </wp:positionV>
                <wp:extent cx="3254375" cy="285115"/>
                <wp:effectExtent l="635" t="635" r="29845" b="10795"/>
                <wp:wrapNone/>
                <wp:docPr id="1218" name="正方形/長方形 2094"/>
                <a:graphic xmlns:a="http://schemas.openxmlformats.org/drawingml/2006/main">
                  <a:graphicData uri="http://schemas.microsoft.com/office/word/2010/wordprocessingShape">
                    <wps:wsp>
                      <wps:cNvPr id="1218" name="正方形/長方形 2094"/>
                      <wps:cNvSpPr/>
                      <wps:spPr>
                        <a:xfrm>
                          <a:off x="0" y="0"/>
                          <a:ext cx="3254375" cy="28511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94" style="mso-wrap-distance-right:9pt;mso-wrap-distance-bottom:0pt;margin-top:14.5pt;mso-position-vertical-relative:text;mso-position-horizontal-relative:text;position:absolute;height:22.45pt;mso-wrap-distance-top:0pt;width:256.25pt;mso-wrap-distance-left:9pt;margin-left:72.09pt;z-index:171;" o:spid="_x0000_s1218"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77" behindDoc="0" locked="0" layoutInCell="1" hidden="0" allowOverlap="1">
                <wp:simplePos x="0" y="0"/>
                <wp:positionH relativeFrom="column">
                  <wp:posOffset>2195830</wp:posOffset>
                </wp:positionH>
                <wp:positionV relativeFrom="paragraph">
                  <wp:posOffset>194945</wp:posOffset>
                </wp:positionV>
                <wp:extent cx="1235710" cy="586740"/>
                <wp:effectExtent l="0" t="0" r="635" b="635"/>
                <wp:wrapNone/>
                <wp:docPr id="1219" name="正方形/長方形 2101"/>
                <a:graphic xmlns:a="http://schemas.openxmlformats.org/drawingml/2006/main">
                  <a:graphicData uri="http://schemas.microsoft.com/office/word/2010/wordprocessingShape">
                    <wps:wsp>
                      <wps:cNvPr id="1219" name="正方形/長方形 2101"/>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スポーツ施設</w:t>
                            </w:r>
                          </w:p>
                        </w:txbxContent>
                      </wps:txbx>
                      <wps:bodyPr rot="0" vertOverflow="overflow" horzOverflow="overflow" wrap="square" numCol="1" spcCol="0" rtlCol="0" fromWordArt="0" anchor="t" anchorCtr="0" forceAA="0" compatLnSpc="1"/>
                    </wps:wsp>
                  </a:graphicData>
                </a:graphic>
              </wp:anchor>
            </w:drawing>
          </mc:Choice>
          <mc:Fallback>
            <w:pict>
              <v:rect id="正方形/長方形 2101" style="mso-wrap-distance-right:9pt;mso-wrap-distance-bottom:0pt;margin-top:15.35pt;mso-position-vertical-relative:text;mso-position-horizontal-relative:text;v-text-anchor:top;position:absolute;height:46.2pt;mso-wrap-distance-top:0pt;width:97.3pt;mso-wrap-distance-left:9pt;margin-left:172.9pt;z-index:177;" o:spid="_x0000_s1219"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スポーツ施設</w:t>
                      </w:r>
                    </w:p>
                  </w:txbxContent>
                </v:textbox>
                <v:imagedata o:title=""/>
                <w10:wrap type="none" anchorx="text" anchory="text"/>
              </v:rect>
            </w:pict>
          </mc:Fallback>
        </mc:AlternateContent>
      </w:r>
    </w:p>
    <w:p>
      <w:pPr>
        <w:pStyle w:val="0"/>
        <w:rPr>
          <w:rFonts w:hint="default"/>
        </w:rPr>
      </w:pPr>
      <w:r>
        <w:rPr>
          <w:rFonts w:hint="eastAsia"/>
        </w:rPr>
        <mc:AlternateContent>
          <mc:Choice Requires="wps">
            <w:drawing>
              <wp:anchor distT="0" distB="0" distL="114300" distR="114300" simplePos="0" relativeHeight="180" behindDoc="0" locked="0" layoutInCell="1" hidden="0" allowOverlap="1">
                <wp:simplePos x="0" y="0"/>
                <wp:positionH relativeFrom="column">
                  <wp:posOffset>4276090</wp:posOffset>
                </wp:positionH>
                <wp:positionV relativeFrom="paragraph">
                  <wp:posOffset>146050</wp:posOffset>
                </wp:positionV>
                <wp:extent cx="1235710" cy="586740"/>
                <wp:effectExtent l="0" t="0" r="635" b="635"/>
                <wp:wrapNone/>
                <wp:docPr id="1220" name="正方形/長方形 2103"/>
                <a:graphic xmlns:a="http://schemas.openxmlformats.org/drawingml/2006/main">
                  <a:graphicData uri="http://schemas.microsoft.com/office/word/2010/wordprocessingShape">
                    <wps:wsp>
                      <wps:cNvPr id="1220" name="正方形/長方形 2103"/>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娯楽施設</w:t>
                            </w:r>
                          </w:p>
                        </w:txbxContent>
                      </wps:txbx>
                      <wps:bodyPr rot="0" vertOverflow="overflow" horzOverflow="overflow" wrap="square" numCol="1" spcCol="0" rtlCol="0" fromWordArt="0" anchor="t" anchorCtr="0" forceAA="0" compatLnSpc="1"/>
                    </wps:wsp>
                  </a:graphicData>
                </a:graphic>
              </wp:anchor>
            </w:drawing>
          </mc:Choice>
          <mc:Fallback>
            <w:pict>
              <v:rect id="正方形/長方形 2103" style="mso-wrap-distance-right:9pt;mso-wrap-distance-bottom:0pt;margin-top:11.5pt;mso-position-vertical-relative:text;mso-position-horizontal-relative:text;v-text-anchor:top;position:absolute;height:46.2pt;mso-wrap-distance-top:0pt;width:97.3pt;mso-wrap-distance-left:9pt;margin-left:336.7pt;z-index:180;" o:spid="_x0000_s1220"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娯楽施設</w:t>
                      </w:r>
                    </w:p>
                  </w:txbxContent>
                </v:textbox>
                <v:imagedata o:title=""/>
                <w10:wrap type="none" anchorx="text" anchory="text"/>
              </v:rect>
            </w:pict>
          </mc:Fallback>
        </mc:AlternateContent>
      </w:r>
    </w:p>
    <w:p>
      <w:pPr>
        <w:pStyle w:val="0"/>
        <w:rPr>
          <w:rFonts w:hint="default"/>
        </w:rPr>
      </w:pPr>
      <w:r>
        <w:rPr>
          <w:rFonts w:hint="default"/>
        </w:rPr>
        <mc:AlternateContent>
          <mc:Choice Requires="wps">
            <w:drawing>
              <wp:anchor distT="0" distB="0" distL="114300" distR="114300" simplePos="0" relativeHeight="172" behindDoc="0" locked="0" layoutInCell="1" hidden="0" allowOverlap="1">
                <wp:simplePos x="0" y="0"/>
                <wp:positionH relativeFrom="column">
                  <wp:posOffset>905510</wp:posOffset>
                </wp:positionH>
                <wp:positionV relativeFrom="paragraph">
                  <wp:posOffset>81280</wp:posOffset>
                </wp:positionV>
                <wp:extent cx="3275330" cy="285115"/>
                <wp:effectExtent l="635" t="635" r="29845" b="10795"/>
                <wp:wrapNone/>
                <wp:docPr id="1221" name="正方形/長方形 2095"/>
                <a:graphic xmlns:a="http://schemas.openxmlformats.org/drawingml/2006/main">
                  <a:graphicData uri="http://schemas.microsoft.com/office/word/2010/wordprocessingShape">
                    <wps:wsp>
                      <wps:cNvPr id="1221" name="正方形/長方形 2095"/>
                      <wps:cNvSpPr/>
                      <wps:spPr>
                        <a:xfrm>
                          <a:off x="0" y="0"/>
                          <a:ext cx="3275330" cy="28511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95" style="mso-wrap-distance-right:9pt;mso-wrap-distance-bottom:0pt;margin-top:6.4pt;mso-position-vertical-relative:text;mso-position-horizontal-relative:text;position:absolute;height:22.45pt;mso-wrap-distance-top:0pt;width:257.89pt;mso-wrap-distance-left:9pt;margin-left:71.3pt;z-index:172;" o:spid="_x0000_s1221" o:allowincell="t" o:allowoverlap="t" filled="t" fillcolor="#ffffff [3212]" stroked="t" strokecolor="#4472c4 [3204]"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78" behindDoc="0" locked="0" layoutInCell="1" hidden="0" allowOverlap="1">
                <wp:simplePos x="0" y="0"/>
                <wp:positionH relativeFrom="column">
                  <wp:posOffset>2428875</wp:posOffset>
                </wp:positionH>
                <wp:positionV relativeFrom="paragraph">
                  <wp:posOffset>87630</wp:posOffset>
                </wp:positionV>
                <wp:extent cx="1235710" cy="586740"/>
                <wp:effectExtent l="0" t="0" r="635" b="635"/>
                <wp:wrapNone/>
                <wp:docPr id="1222" name="正方形/長方形 2102"/>
                <a:graphic xmlns:a="http://schemas.openxmlformats.org/drawingml/2006/main">
                  <a:graphicData uri="http://schemas.microsoft.com/office/word/2010/wordprocessingShape">
                    <wps:wsp>
                      <wps:cNvPr id="1222" name="正方形/長方形 2102"/>
                      <wps:cNvSpPr/>
                      <wps:spPr>
                        <a:xfrm>
                          <a:off x="0" y="0"/>
                          <a:ext cx="1235710" cy="586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職場</w:t>
                            </w:r>
                          </w:p>
                        </w:txbxContent>
                      </wps:txbx>
                      <wps:bodyPr rot="0" vertOverflow="overflow" horzOverflow="overflow" wrap="square" numCol="1" spcCol="0" rtlCol="0" fromWordArt="0" anchor="t" anchorCtr="0" forceAA="0" compatLnSpc="1"/>
                    </wps:wsp>
                  </a:graphicData>
                </a:graphic>
              </wp:anchor>
            </w:drawing>
          </mc:Choice>
          <mc:Fallback>
            <w:pict>
              <v:rect id="正方形/長方形 2102" style="mso-wrap-distance-right:9pt;mso-wrap-distance-bottom:0pt;margin-top:6.9pt;mso-position-vertical-relative:text;mso-position-horizontal-relative:text;v-text-anchor:top;position:absolute;height:46.2pt;mso-wrap-distance-top:0pt;width:97.3pt;mso-wrap-distance-left:9pt;margin-left:191.25pt;z-index:178;" o:spid="_x0000_s1222"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20"/>
                        </w:rPr>
                        <w:t>職場</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84" behindDoc="0" locked="0" layoutInCell="1" hidden="0" allowOverlap="1">
                <wp:simplePos x="0" y="0"/>
                <wp:positionH relativeFrom="column">
                  <wp:posOffset>4082415</wp:posOffset>
                </wp:positionH>
                <wp:positionV relativeFrom="paragraph">
                  <wp:posOffset>39370</wp:posOffset>
                </wp:positionV>
                <wp:extent cx="2069465" cy="736600"/>
                <wp:effectExtent l="635" t="635" r="29210" b="10160"/>
                <wp:wrapNone/>
                <wp:docPr id="1223" name="フリーフォーム: 図形 2108"/>
                <a:graphic xmlns:a="http://schemas.openxmlformats.org/drawingml/2006/main">
                  <a:graphicData uri="http://schemas.microsoft.com/office/word/2010/wordprocessingShape">
                    <wps:wsp>
                      <wps:cNvPr id="1223" name="フリーフォーム: 図形 2108"/>
                      <wps:cNvSpPr/>
                      <wps:spPr>
                        <a:xfrm flipV="1">
                          <a:off x="0" y="0"/>
                          <a:ext cx="2069465"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108" style="flip:y;mso-wrap-distance-right:9pt;mso-wrap-distance-bottom:0pt;margin-top:3.1pt;mso-position-vertical-relative:text;mso-position-horizontal-relative:text;position:absolute;height:58pt;mso-wrap-distance-top:0pt;width:162.94pt;mso-wrap-distance-left:9pt;margin-left:321.45pt;z-index:184;" o:spid="_x0000_s1223"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83" behindDoc="0" locked="0" layoutInCell="1" hidden="0" allowOverlap="1">
                <wp:simplePos x="0" y="0"/>
                <wp:positionH relativeFrom="column">
                  <wp:posOffset>106045</wp:posOffset>
                </wp:positionH>
                <wp:positionV relativeFrom="paragraph">
                  <wp:posOffset>40005</wp:posOffset>
                </wp:positionV>
                <wp:extent cx="2069465" cy="736600"/>
                <wp:effectExtent l="635" t="635" r="29845" b="10160"/>
                <wp:wrapNone/>
                <wp:docPr id="1224" name="フリーフォーム: 図形 2107"/>
                <a:graphic xmlns:a="http://schemas.openxmlformats.org/drawingml/2006/main">
                  <a:graphicData uri="http://schemas.microsoft.com/office/word/2010/wordprocessingShape">
                    <wps:wsp>
                      <wps:cNvPr id="1224" name="フリーフォーム: 図形 2107"/>
                      <wps:cNvSpPr/>
                      <wps:spPr>
                        <a:xfrm flipH="1" flipV="1">
                          <a:off x="0" y="0"/>
                          <a:ext cx="2069465" cy="736600"/>
                        </a:xfrm>
                        <a:custGeom>
                          <a:avLst/>
                          <a:gdLst>
                            <a:gd name="connsiteX0" fmla="*/ 0 w 1981200"/>
                            <a:gd name="connsiteY0" fmla="*/ 0 h 736600"/>
                            <a:gd name="connsiteX1" fmla="*/ 0 w 1981200"/>
                            <a:gd name="connsiteY1" fmla="*/ 736600 h 736600"/>
                            <a:gd name="connsiteX2" fmla="*/ 1981200 w 1981200"/>
                            <a:gd name="connsiteY2" fmla="*/ 736600 h 736600"/>
                          </a:gdLst>
                          <a:ahLst/>
                          <a:cxnLst>
                            <a:cxn ang="0">
                              <a:pos x="connsiteX0" y="connsiteY0"/>
                            </a:cxn>
                            <a:cxn ang="0">
                              <a:pos x="connsiteX1" y="connsiteY1"/>
                            </a:cxn>
                            <a:cxn ang="0">
                              <a:pos x="connsiteX2" y="connsiteY2"/>
                            </a:cxn>
                          </a:cxnLst>
                          <a:rect l="l" t="t" r="r" b="b"/>
                          <a:pathLst>
                            <a:path w="1981200" h="736600">
                              <a:moveTo>
                                <a:pt x="0" y="0"/>
                              </a:moveTo>
                              <a:lnTo>
                                <a:pt x="0" y="736600"/>
                              </a:lnTo>
                              <a:lnTo>
                                <a:pt x="1981200" y="7366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2107" style="flip:x y;mso-wrap-distance-right:9pt;mso-wrap-distance-bottom:0pt;margin-top:3.15pt;mso-position-vertical-relative:text;mso-position-horizontal-relative:text;position:absolute;height:58pt;mso-wrap-distance-top:0pt;width:162.94pt;mso-wrap-distance-left:9pt;margin-left:8.35pt;z-index:183;" o:spid="_x0000_s1224" o:allowincell="t" o:allowoverlap="t" filled="f" stroked="t" strokecolor="#000000 [3213]" strokeweight="1pt" o:spt="100" path="m0,0l0,0l0,21600l21600,21600e">
                <v:path textboxrect="0,0,21600,21600" arrowok="true" o:connecttype="custom" o:connectlocs="0,0;0,21600;21600,21600" o:connectangles="0,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66" behindDoc="0" locked="0" layoutInCell="1" hidden="0" allowOverlap="1">
                <wp:simplePos x="0" y="0"/>
                <wp:positionH relativeFrom="column">
                  <wp:posOffset>4055110</wp:posOffset>
                </wp:positionH>
                <wp:positionV relativeFrom="paragraph">
                  <wp:posOffset>28575</wp:posOffset>
                </wp:positionV>
                <wp:extent cx="2332355" cy="906780"/>
                <wp:effectExtent l="0" t="0" r="635" b="635"/>
                <wp:wrapNone/>
                <wp:docPr id="1225" name="正方形/長方形 2089"/>
                <a:graphic xmlns:a="http://schemas.openxmlformats.org/drawingml/2006/main">
                  <a:graphicData uri="http://schemas.microsoft.com/office/word/2010/wordprocessingShape">
                    <wps:wsp>
                      <wps:cNvPr id="1225" name="正方形/長方形 2089"/>
                      <wps:cNvSpPr/>
                      <wps:spPr>
                        <a:xfrm>
                          <a:off x="0" y="0"/>
                          <a:ext cx="2332355" cy="906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４＜中リスク＞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【虚弱を改善すべき高齢者層】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外出機会は多いが、身体能力は低下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18</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p>
                        </w:txbxContent>
                      </wps:txbx>
                      <wps:bodyPr rot="0" vertOverflow="overflow" horzOverflow="overflow" wrap="square" numCol="1" spcCol="0" rtlCol="0" fromWordArt="0" anchor="t" anchorCtr="0" forceAA="0" compatLnSpc="1"/>
                    </wps:wsp>
                  </a:graphicData>
                </a:graphic>
              </wp:anchor>
            </w:drawing>
          </mc:Choice>
          <mc:Fallback>
            <w:pict>
              <v:rect id="正方形/長方形 2089" style="mso-wrap-distance-right:9pt;mso-wrap-distance-bottom:0pt;margin-top:2.25pt;mso-position-vertical-relative:text;mso-position-horizontal-relative:text;v-text-anchor:top;position:absolute;height:71.400000000000006pt;mso-wrap-distance-top:0pt;width:183.65pt;mso-wrap-distance-left:9pt;margin-left:319.3pt;z-index:166;" o:spid="_x0000_s1225"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４＜中リスク＞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【虚弱を改善すべき高齢者層】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外出機会は多いが、身体能力は低下</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18</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1</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65" behindDoc="0" locked="0" layoutInCell="1" hidden="0" allowOverlap="1">
                <wp:simplePos x="0" y="0"/>
                <wp:positionH relativeFrom="column">
                  <wp:posOffset>113030</wp:posOffset>
                </wp:positionH>
                <wp:positionV relativeFrom="paragraph">
                  <wp:posOffset>33655</wp:posOffset>
                </wp:positionV>
                <wp:extent cx="2486660" cy="1002030"/>
                <wp:effectExtent l="0" t="0" r="635" b="635"/>
                <wp:wrapNone/>
                <wp:docPr id="1226" name="正方形/長方形 2088"/>
                <a:graphic xmlns:a="http://schemas.openxmlformats.org/drawingml/2006/main">
                  <a:graphicData uri="http://schemas.microsoft.com/office/word/2010/wordprocessingShape">
                    <wps:wsp>
                      <wps:cNvPr id="1226" name="正方形/長方形 2088"/>
                      <wps:cNvSpPr/>
                      <wps:spPr>
                        <a:xfrm>
                          <a:off x="0" y="0"/>
                          <a:ext cx="2486660" cy="1002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３＜低リスク＞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【自立した高齢者層】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外出機会が多く、身体能力も高い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7</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p>
                        </w:txbxContent>
                      </wps:txbx>
                      <wps:bodyPr rot="0" vertOverflow="overflow" horzOverflow="overflow" wrap="square" numCol="1" spcCol="0" rtlCol="0" fromWordArt="0" anchor="t" anchorCtr="0" forceAA="0" compatLnSpc="1"/>
                    </wps:wsp>
                  </a:graphicData>
                </a:graphic>
              </wp:anchor>
            </w:drawing>
          </mc:Choice>
          <mc:Fallback>
            <w:pict>
              <v:rect id="正方形/長方形 2088" style="mso-wrap-distance-right:9pt;mso-wrap-distance-bottom:0pt;margin-top:2.65pt;mso-position-vertical-relative:text;mso-position-horizontal-relative:text;v-text-anchor:top;position:absolute;height:78.900000000000006pt;mso-wrap-distance-top:0pt;width:195.8pt;mso-wrap-distance-left:9pt;margin-left:8.9pt;z-index:165;" o:spid="_x0000_s1226"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３＜低リスク＞</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【自立した高齢者層】</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外出機会が多く、身体能力も高い</w:t>
                      </w:r>
                    </w:p>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全高齢者の約</w:t>
                      </w:r>
                      <w:r>
                        <w:rPr>
                          <w:rFonts w:hint="eastAsia" w:ascii="ＭＳ ゴシック" w:hAnsi="ＭＳ ゴシック" w:eastAsia="ＭＳ ゴシック"/>
                          <w:color w:val="000000" w:themeColor="text1"/>
                          <w:sz w:val="16"/>
                        </w:rPr>
                        <w:t>6</w:t>
                      </w:r>
                      <w:r>
                        <w:rPr>
                          <w:rFonts w:hint="default" w:ascii="ＭＳ ゴシック" w:hAnsi="ＭＳ ゴシック" w:eastAsia="ＭＳ ゴシック"/>
                          <w:color w:val="000000" w:themeColor="text1"/>
                          <w:sz w:val="16"/>
                        </w:rPr>
                        <w:t>4</w:t>
                      </w:r>
                      <w:r>
                        <w:rPr>
                          <w:rFonts w:hint="eastAsia" w:ascii="ＭＳ ゴシック" w:hAnsi="ＭＳ ゴシック" w:eastAsia="ＭＳ ゴシック"/>
                          <w:color w:val="000000" w:themeColor="text1"/>
                          <w:sz w:val="16"/>
                        </w:rPr>
                        <w:t>％　前期高齢者の約</w:t>
                      </w:r>
                      <w:r>
                        <w:rPr>
                          <w:rFonts w:hint="eastAsia" w:ascii="ＭＳ ゴシック" w:hAnsi="ＭＳ ゴシック" w:eastAsia="ＭＳ ゴシック"/>
                          <w:color w:val="000000" w:themeColor="text1"/>
                          <w:sz w:val="16"/>
                        </w:rPr>
                        <w:t>7</w:t>
                      </w:r>
                      <w:r>
                        <w:rPr>
                          <w:rFonts w:hint="default" w:ascii="ＭＳ ゴシック" w:hAnsi="ＭＳ ゴシック" w:eastAsia="ＭＳ ゴシック"/>
                          <w:color w:val="000000" w:themeColor="text1"/>
                          <w:sz w:val="16"/>
                        </w:rPr>
                        <w:t>1</w:t>
                      </w:r>
                      <w:r>
                        <w:rPr>
                          <w:rFonts w:hint="eastAsia" w:ascii="ＭＳ ゴシック" w:hAnsi="ＭＳ ゴシック" w:eastAsia="ＭＳ ゴシック"/>
                          <w:color w:val="000000" w:themeColor="text1"/>
                          <w:sz w:val="16"/>
                        </w:rPr>
                        <w:t>％</w:t>
                      </w:r>
                    </w:p>
                  </w:txbxContent>
                </v:textbox>
                <v:imagedata o:title=""/>
                <w10:wrap type="none" anchorx="text" anchory="text"/>
              </v:rect>
            </w:pict>
          </mc:Fallback>
        </mc:AlternateConten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52" behindDoc="0" locked="0" layoutInCell="1" hidden="0" allowOverlap="1">
                <wp:simplePos x="0" y="0"/>
                <wp:positionH relativeFrom="column">
                  <wp:posOffset>2711450</wp:posOffset>
                </wp:positionH>
                <wp:positionV relativeFrom="paragraph">
                  <wp:posOffset>29845</wp:posOffset>
                </wp:positionV>
                <wp:extent cx="825500" cy="181610"/>
                <wp:effectExtent l="635" t="635" r="29845" b="10795"/>
                <wp:wrapNone/>
                <wp:docPr id="1227" name="角丸四角形 3"/>
                <a:graphic xmlns:a="http://schemas.openxmlformats.org/drawingml/2006/main">
                  <a:graphicData uri="http://schemas.microsoft.com/office/word/2010/wordprocessingShape">
                    <wps:wsp>
                      <wps:cNvPr id="1227" name="角丸四角形 3"/>
                      <wps:cNvSpPr/>
                      <wps:spPr>
                        <a:xfrm>
                          <a:off x="0" y="0"/>
                          <a:ext cx="825500" cy="181610"/>
                        </a:xfrm>
                        <a:prstGeom prst="roundRect">
                          <a:avLst/>
                        </a:prstGeom>
                        <a:solidFill>
                          <a:schemeClr val="accent1"/>
                        </a:solidFill>
                        <a:ln w="63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外出機会が多い</w:t>
                            </w:r>
                          </w:p>
                        </w:txbxContent>
                      </wps:txbx>
                      <wps:bodyPr vertOverflow="clip" horzOverflow="clip" wrap="square" rtlCol="0" anchor="t"/>
                    </wps:wsp>
                  </a:graphicData>
                </a:graphic>
              </wp:anchor>
            </w:drawing>
          </mc:Choice>
          <mc:Fallback>
            <w:pict>
              <v:roundrect id="角丸四角形 3" style="mso-wrap-distance-right:9pt;mso-wrap-distance-bottom:0pt;margin-top:2.35pt;mso-position-vertical-relative:text;mso-position-horizontal-relative:text;v-text-anchor:top;position:absolute;height:14.3pt;mso-wrap-distance-top:0pt;width:65pt;mso-wrap-distance-left:9pt;margin-left:213.5pt;z-index:152;" o:spid="_x0000_s1227" o:allowincell="t" o:allowoverlap="t" filled="t" fillcolor="#4472c4 [3204]" stroked="t" strokecolor="#808080 [1612]" strokeweight="0.5pt" o:spt="2" arcsize="10923f">
                <v:fill/>
                <v:stroke linestyle="single" miterlimit="8" endcap="flat" dashstyle="solid" filltype="solid"/>
                <v:textbox style="layout-flow:horizontal;">
                  <w:txbxContent>
                    <w:p>
                      <w:pPr>
                        <w:pStyle w:val="0"/>
                        <w:spacing w:line="120" w:lineRule="exact"/>
                        <w:ind w:left="-36" w:leftChars="-59" w:right="-163" w:rightChars="-68" w:hanging="106" w:hangingChars="88"/>
                        <w:jc w:val="center"/>
                        <w:rPr>
                          <w:rFonts w:hint="default" w:ascii="ＭＳ ゴシック" w:hAnsi="ＭＳ ゴシック" w:eastAsia="ＭＳ ゴシック"/>
                          <w:b w:val="1"/>
                          <w:color w:val="FFFFFF" w:themeColor="background1"/>
                          <w:kern w:val="0"/>
                          <w:sz w:val="10"/>
                        </w:rPr>
                      </w:pPr>
                      <w:r>
                        <w:rPr>
                          <w:rFonts w:hint="eastAsia" w:ascii="ＭＳ ゴシック" w:hAnsi="ＭＳ ゴシック" w:eastAsia="ＭＳ ゴシック"/>
                          <w:b w:val="1"/>
                          <w:color w:val="FFFFFF" w:themeColor="background1"/>
                          <w:sz w:val="12"/>
                        </w:rPr>
                        <w:t>外出機会が多い</w:t>
                      </w:r>
                    </w:p>
                  </w:txbxContent>
                </v:textbox>
                <v:imagedata o:title=""/>
                <w10:wrap type="none" anchorx="text" anchory="text"/>
              </v:roundrect>
            </w:pict>
          </mc:Fallback>
        </mc:AlternateContent>
      </w:r>
    </w:p>
    <w:p>
      <w:pPr>
        <w:pStyle w:val="5"/>
        <w:ind w:left="0" w:leftChars="0"/>
        <w:jc w:val="both"/>
        <w:rPr>
          <w:rFonts w:hint="default" w:ascii="ＭＳ ゴシック" w:hAnsi="ＭＳ ゴシック" w:eastAsia="ＭＳ ゴシック"/>
        </w:rPr>
      </w:pPr>
      <w:bookmarkStart w:id="74" w:name="_Toc59007797"/>
      <w:r>
        <w:rPr>
          <w:rFonts w:hint="eastAsia" w:ascii="ＭＳ ゴシック" w:hAnsi="ＭＳ ゴシック" w:eastAsia="ＭＳ ゴシック"/>
        </w:rPr>
        <w:t>ウ）健康意識や介護予防への関心の度合いに応じた段階的アプローチ</w:t>
      </w:r>
      <w:bookmarkEnd w:id="74"/>
    </w:p>
    <w:p>
      <w:pPr>
        <w:pStyle w:val="0"/>
        <w:ind w:left="480" w:leftChars="100" w:hanging="240" w:hangingChars="100"/>
        <w:jc w:val="both"/>
        <w:rPr>
          <w:rFonts w:hint="default"/>
        </w:rPr>
      </w:pPr>
      <w:bookmarkStart w:id="75" w:name="_Toc512263429"/>
      <w:r>
        <w:rPr>
          <w:rFonts w:hint="eastAsia"/>
        </w:rPr>
        <w:t>○　健康意識が低く、介護予防への関心がないかたには、まずは自分の体の状態を知り、介護予防の大切さを感じる「気づき」のアプローチとして、啓発チラシ・パンフレットの配布、医療職による健康相談、からだの元気度測定（体力測定）、運動トレーナーによる体操指導を実施します。</w:t>
      </w:r>
    </w:p>
    <w:p>
      <w:pPr>
        <w:pStyle w:val="0"/>
        <w:ind w:left="480" w:leftChars="100" w:hanging="240" w:hangingChars="100"/>
        <w:jc w:val="both"/>
        <w:rPr>
          <w:rFonts w:hint="default"/>
        </w:rPr>
      </w:pPr>
      <w:r>
        <w:rPr>
          <w:rFonts w:hint="eastAsia"/>
        </w:rPr>
        <w:t>○　自分の体の状態を知り、介護予防の大切さに気づいたかたには、自分に合った介護予防メニューや、趣味・関心を「見つける」アプローチとして、アンチエイジングセミナーや箕面シニア塾（文化・健康コース、スポーツコース）を開催します。</w:t>
      </w:r>
    </w:p>
    <w:p>
      <w:pPr>
        <w:pStyle w:val="0"/>
        <w:ind w:left="480" w:leftChars="100" w:hanging="240" w:hangingChars="100"/>
        <w:jc w:val="both"/>
        <w:rPr>
          <w:rFonts w:hint="default"/>
        </w:rPr>
      </w:pPr>
      <w:r>
        <w:rPr>
          <w:rFonts w:hint="eastAsia"/>
        </w:rPr>
        <w:t>○　自分に合った介護予防メニューや、趣味・関心を見つけたかたには、自分に合った場を見つけ、活動を「続ける」アプローチとして、地域での通いの場の支援を行います。具体的には、稲ふれあいセンターの利用を活性化し、新たな利用者を増やすための取組として、運動トレーナーによる体操指導、からだの元気度測定会、パワープレート新規講習会などを実施し、見学・体験会などの取組を進めます。</w:t>
      </w:r>
    </w:p>
    <w:p>
      <w:pPr>
        <w:pStyle w:val="0"/>
        <w:ind w:left="480" w:leftChars="200" w:firstLine="240" w:firstLineChars="100"/>
        <w:jc w:val="both"/>
        <w:rPr>
          <w:rFonts w:hint="default"/>
        </w:rPr>
      </w:pPr>
      <w:r>
        <w:rPr>
          <w:rFonts w:hint="eastAsia"/>
        </w:rPr>
        <w:t>また、身近な地域で文化・スポーツ・趣味などの活動を続ける場として、シニアクラブや街かどデイハウスの活動支援、シニア活動応援交付金による地域グループの立ち上げ・活性化支援、運動トレーナー派遣による体操グループなどの立ち上げ・活性化支援、からだの元気度測定会の開催による地域グループの活性化支援を継続して実施します。</w:t>
      </w:r>
    </w:p>
    <w:p>
      <w:pPr>
        <w:pStyle w:val="0"/>
        <w:ind w:left="480" w:leftChars="200" w:firstLine="240" w:firstLineChars="100"/>
        <w:rPr>
          <w:rFonts w:hint="default"/>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rPr>
        <mc:AlternateContent>
          <mc:Choice Requires="wps">
            <w:drawing>
              <wp:anchor distT="0" distB="0" distL="114300" distR="114300" simplePos="0" relativeHeight="187" behindDoc="0" locked="1" layoutInCell="1" hidden="0" allowOverlap="1">
                <wp:simplePos x="0" y="0"/>
                <wp:positionH relativeFrom="column">
                  <wp:posOffset>876935</wp:posOffset>
                </wp:positionH>
                <wp:positionV relativeFrom="paragraph">
                  <wp:posOffset>2630170</wp:posOffset>
                </wp:positionV>
                <wp:extent cx="380365" cy="525780"/>
                <wp:effectExtent l="1270" t="635" r="30480" b="10795"/>
                <wp:wrapNone/>
                <wp:docPr id="1228" name="矢印: 下 2111"/>
                <a:graphic xmlns:a="http://schemas.openxmlformats.org/drawingml/2006/main">
                  <a:graphicData uri="http://schemas.microsoft.com/office/word/2010/wordprocessingShape">
                    <wps:wsp>
                      <wps:cNvPr id="1228" name="矢印: 下 2111"/>
                      <wps:cNvSpPr/>
                      <wps:spPr>
                        <a:xfrm>
                          <a:off x="0" y="0"/>
                          <a:ext cx="380365" cy="525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11" style="mso-wrap-distance-right:9pt;mso-wrap-distance-bottom:0pt;margin-top:207.1pt;mso-position-vertical-relative:text;mso-position-horizontal-relative:text;position:absolute;height:41.4pt;mso-wrap-distance-top:0pt;width:29.95pt;mso-wrap-distance-left:9pt;margin-left:69.05pt;z-index:187;" o:spid="_x0000_s1228" o:allowincell="t" o:allowoverlap="t" filled="t" fillcolor="#4472c4 [3204]" stroked="t" strokecolor="#32528f" strokeweight="1pt" o:spt="67" type="#_x0000_t67" adj="10800,5400">
                <v:fill/>
                <v:stroke linestyle="single" miterlimit="8" endcap="flat" dashstyle="solid" filltype="solid"/>
                <v:textbox style="layout-flow:horizontal;"/>
                <v:imagedata o:title=""/>
                <w10:wrap type="none" anchorx="text" anchory="text"/>
                <w10:anchorlock/>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186" behindDoc="0" locked="1" layoutInCell="1" hidden="0" allowOverlap="1">
                <wp:simplePos x="0" y="0"/>
                <wp:positionH relativeFrom="column">
                  <wp:posOffset>876935</wp:posOffset>
                </wp:positionH>
                <wp:positionV relativeFrom="paragraph">
                  <wp:posOffset>1732915</wp:posOffset>
                </wp:positionV>
                <wp:extent cx="380365" cy="525780"/>
                <wp:effectExtent l="1270" t="635" r="30480" b="10795"/>
                <wp:wrapNone/>
                <wp:docPr id="1229" name="矢印: 下 2110"/>
                <a:graphic xmlns:a="http://schemas.openxmlformats.org/drawingml/2006/main">
                  <a:graphicData uri="http://schemas.microsoft.com/office/word/2010/wordprocessingShape">
                    <wps:wsp>
                      <wps:cNvPr id="1229" name="矢印: 下 2110"/>
                      <wps:cNvSpPr/>
                      <wps:spPr>
                        <a:xfrm>
                          <a:off x="0" y="0"/>
                          <a:ext cx="380365" cy="525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10" style="mso-wrap-distance-right:9pt;mso-wrap-distance-bottom:0pt;margin-top:136.44pt;mso-position-vertical-relative:text;mso-position-horizontal-relative:text;position:absolute;height:41.4pt;mso-wrap-distance-top:0pt;width:29.95pt;mso-wrap-distance-left:9pt;margin-left:69.05pt;z-index:186;" o:spid="_x0000_s1229" o:allowincell="t" o:allowoverlap="t" filled="t" fillcolor="#4472c4 [3204]" stroked="t" strokecolor="#32528f" strokeweight="1pt" o:spt="67" type="#_x0000_t67" adj="10800,5400">
                <v:fill/>
                <v:stroke linestyle="single" miterlimit="8" endcap="flat" dashstyle="solid" filltype="solid"/>
                <v:textbox style="layout-flow:horizontal;"/>
                <v:imagedata o:title=""/>
                <w10:wrap type="none" anchorx="text" anchory="text"/>
                <w10:anchorlock/>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185" behindDoc="0" locked="1" layoutInCell="1" hidden="0" allowOverlap="1">
                <wp:simplePos x="0" y="0"/>
                <wp:positionH relativeFrom="column">
                  <wp:posOffset>876935</wp:posOffset>
                </wp:positionH>
                <wp:positionV relativeFrom="paragraph">
                  <wp:posOffset>775335</wp:posOffset>
                </wp:positionV>
                <wp:extent cx="380365" cy="525780"/>
                <wp:effectExtent l="1270" t="635" r="30480" b="10795"/>
                <wp:wrapNone/>
                <wp:docPr id="1230" name="矢印: 下 2109"/>
                <a:graphic xmlns:a="http://schemas.openxmlformats.org/drawingml/2006/main">
                  <a:graphicData uri="http://schemas.microsoft.com/office/word/2010/wordprocessingShape">
                    <wps:wsp>
                      <wps:cNvPr id="1230" name="矢印: 下 2109"/>
                      <wps:cNvSpPr/>
                      <wps:spPr>
                        <a:xfrm>
                          <a:off x="0" y="0"/>
                          <a:ext cx="380365" cy="525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09" style="mso-wrap-distance-right:9pt;mso-wrap-distance-bottom:0pt;margin-top:61.05pt;mso-position-vertical-relative:text;mso-position-horizontal-relative:text;position:absolute;height:41.4pt;mso-wrap-distance-top:0pt;width:29.95pt;mso-wrap-distance-left:9pt;margin-left:69.05pt;z-index:185;" o:spid="_x0000_s1230" o:allowincell="t" o:allowoverlap="t" filled="t" fillcolor="#4472c4 [3204]" stroked="t" strokecolor="#32528f" strokeweight="1pt" o:spt="67" type="#_x0000_t67" adj="10800,5400">
                <v:fill/>
                <v:stroke linestyle="single" miterlimit="8" endcap="flat" dashstyle="solid" filltype="solid"/>
                <v:textbox style="layout-flow:horizontal;"/>
                <v:imagedata o:title=""/>
                <w10:wrap type="none" anchorx="text" anchory="text"/>
                <w10:anchorlock/>
              </v:shape>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83</w:t>
      </w:r>
      <w:r>
        <w:rPr>
          <w:rFonts w:hint="eastAsia" w:ascii="ＭＳ ゴシック" w:hAnsi="ＭＳ ゴシック" w:eastAsia="ＭＳ ゴシック"/>
          <w:sz w:val="21"/>
        </w:rPr>
        <w:t>：段階的アプローチ</w:t>
      </w:r>
    </w:p>
    <w:tbl>
      <w:tblPr>
        <w:tblStyle w:val="59"/>
        <w:tblW w:w="9321" w:type="dxa"/>
        <w:tblInd w:w="421" w:type="dxa"/>
        <w:tblLayout w:type="fixed"/>
        <w:tblLook w:firstRow="1" w:lastRow="0" w:firstColumn="1" w:lastColumn="0" w:noHBand="0" w:noVBand="1" w:val="04A0"/>
      </w:tblPr>
      <w:tblGrid>
        <w:gridCol w:w="2551"/>
        <w:gridCol w:w="3522"/>
        <w:gridCol w:w="3248"/>
      </w:tblGrid>
      <w:tr>
        <w:trPr/>
        <w:tc>
          <w:tcPr>
            <w:tcW w:w="2551" w:type="dxa"/>
            <w:vMerge w:val="restart"/>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sz w:val="24"/>
              </w:rPr>
              <w:t>気づく</w:t>
            </w:r>
          </w:p>
        </w:tc>
        <w:tc>
          <w:tcPr>
            <w:tcW w:w="3522" w:type="dxa"/>
            <w:vMerge w:val="restart"/>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自分の体の状態を知って、介護予防の大切さを感じ、教室やイベンに参加してみる</w:t>
            </w: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啓発パンフレット</w:t>
            </w:r>
          </w:p>
        </w:tc>
      </w:tr>
      <w:tr>
        <w:trPr/>
        <w:tc>
          <w:tcPr>
            <w:tcW w:w="2551" w:type="dxa"/>
            <w:vMerge w:val="continue"/>
            <w:vAlign w:val="top"/>
          </w:tcPr>
          <w:p>
            <w:pPr>
              <w:pStyle w:val="0"/>
              <w:rPr>
                <w:rFonts w:hint="default" w:ascii="ＭＳ ゴシック" w:hAnsi="ＭＳ ゴシック" w:eastAsia="ＭＳ ゴシック"/>
              </w:rPr>
            </w:pPr>
          </w:p>
        </w:tc>
        <w:tc>
          <w:tcPr>
            <w:tcW w:w="3522" w:type="dxa"/>
            <w:vMerge w:val="continue"/>
            <w:vAlign w:val="top"/>
          </w:tcPr>
          <w:p>
            <w:pPr>
              <w:pStyle w:val="0"/>
              <w:rPr>
                <w:rFonts w:hint="default" w:ascii="ＭＳ ゴシック" w:hAnsi="ＭＳ ゴシック" w:eastAsia="ＭＳ ゴシック"/>
              </w:rPr>
            </w:pP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からだの元気度測定</w:t>
            </w:r>
          </w:p>
        </w:tc>
      </w:tr>
      <w:tr>
        <w:trPr/>
        <w:tc>
          <w:tcPr>
            <w:tcW w:w="2551" w:type="dxa"/>
            <w:vMerge w:val="continue"/>
            <w:vAlign w:val="top"/>
          </w:tcPr>
          <w:p>
            <w:pPr>
              <w:pStyle w:val="0"/>
              <w:rPr>
                <w:rFonts w:hint="default" w:ascii="ＭＳ ゴシック" w:hAnsi="ＭＳ ゴシック" w:eastAsia="ＭＳ ゴシック"/>
              </w:rPr>
            </w:pPr>
          </w:p>
        </w:tc>
        <w:tc>
          <w:tcPr>
            <w:tcW w:w="3522" w:type="dxa"/>
            <w:vMerge w:val="continue"/>
            <w:vAlign w:val="top"/>
          </w:tcPr>
          <w:p>
            <w:pPr>
              <w:pStyle w:val="0"/>
              <w:rPr>
                <w:rFonts w:hint="default" w:ascii="ＭＳ ゴシック" w:hAnsi="ＭＳ ゴシック" w:eastAsia="ＭＳ ゴシック"/>
              </w:rPr>
            </w:pP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運動トレーナーによる体操指導</w:t>
            </w:r>
          </w:p>
        </w:tc>
      </w:tr>
    </w:tbl>
    <w:p>
      <w:pPr>
        <w:pStyle w:val="0"/>
        <w:rPr>
          <w:rFonts w:hint="default" w:ascii="ＭＳ ゴシック" w:hAnsi="ＭＳ ゴシック" w:eastAsia="ＭＳ ゴシック"/>
          <w:sz w:val="21"/>
        </w:rPr>
      </w:pPr>
    </w:p>
    <w:tbl>
      <w:tblPr>
        <w:tblStyle w:val="59"/>
        <w:tblW w:w="9321" w:type="dxa"/>
        <w:tblInd w:w="421" w:type="dxa"/>
        <w:tblLayout w:type="fixed"/>
        <w:tblLook w:firstRow="1" w:lastRow="0" w:firstColumn="1" w:lastColumn="0" w:noHBand="0" w:noVBand="1" w:val="04A0"/>
      </w:tblPr>
      <w:tblGrid>
        <w:gridCol w:w="2551"/>
        <w:gridCol w:w="3522"/>
        <w:gridCol w:w="3248"/>
      </w:tblGrid>
      <w:tr>
        <w:trPr>
          <w:trHeight w:val="545" w:hRule="atLeast"/>
        </w:trPr>
        <w:tc>
          <w:tcPr>
            <w:tcW w:w="2551" w:type="dxa"/>
            <w:vMerge w:val="restart"/>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sz w:val="24"/>
              </w:rPr>
              <w:t>見つける</w:t>
            </w:r>
          </w:p>
        </w:tc>
        <w:tc>
          <w:tcPr>
            <w:tcW w:w="3522" w:type="dxa"/>
            <w:vMerge w:val="restart"/>
            <w:vAlign w:val="center"/>
          </w:tcPr>
          <w:p>
            <w:pPr>
              <w:pStyle w:val="0"/>
              <w:jc w:val="both"/>
              <w:rPr>
                <w:rFonts w:hint="default" w:ascii="ＭＳ ゴシック" w:hAnsi="ＭＳ ゴシック" w:eastAsia="ＭＳ ゴシック"/>
              </w:rPr>
            </w:pPr>
            <w:r>
              <w:rPr>
                <w:rFonts w:hint="eastAsia" w:ascii="ＭＳ ゴシック" w:hAnsi="ＭＳ ゴシック" w:eastAsia="ＭＳ ゴシック"/>
              </w:rPr>
              <w:t>自分に合った趣味・関心を見つけ、続けるための活動の場へとつながる</w:t>
            </w:r>
          </w:p>
        </w:tc>
        <w:tc>
          <w:tcPr>
            <w:tcW w:w="3248" w:type="dxa"/>
            <w:vAlign w:val="center"/>
          </w:tcPr>
          <w:p>
            <w:pPr>
              <w:pStyle w:val="0"/>
              <w:jc w:val="both"/>
              <w:rPr>
                <w:rFonts w:hint="default" w:ascii="ＭＳ ゴシック" w:hAnsi="ＭＳ ゴシック" w:eastAsia="ＭＳ ゴシック"/>
              </w:rPr>
            </w:pPr>
            <w:r>
              <w:rPr>
                <w:rFonts w:hint="eastAsia" w:ascii="ＭＳ ゴシック" w:hAnsi="ＭＳ ゴシック" w:eastAsia="ＭＳ ゴシック"/>
              </w:rPr>
              <w:t>アンチエイジングセミナー</w:t>
            </w:r>
          </w:p>
        </w:tc>
      </w:tr>
      <w:tr>
        <w:trPr>
          <w:trHeight w:val="545" w:hRule="atLeast"/>
        </w:trPr>
        <w:tc>
          <w:tcPr>
            <w:tcW w:w="2551" w:type="dxa"/>
            <w:vMerge w:val="continue"/>
            <w:vAlign w:val="top"/>
          </w:tcPr>
          <w:p>
            <w:pPr>
              <w:pStyle w:val="0"/>
              <w:rPr>
                <w:rFonts w:hint="default" w:ascii="ＭＳ ゴシック" w:hAnsi="ＭＳ ゴシック" w:eastAsia="ＭＳ ゴシック"/>
              </w:rPr>
            </w:pPr>
          </w:p>
        </w:tc>
        <w:tc>
          <w:tcPr>
            <w:tcW w:w="3522" w:type="dxa"/>
            <w:vMerge w:val="continue"/>
            <w:vAlign w:val="top"/>
          </w:tcPr>
          <w:p>
            <w:pPr>
              <w:pStyle w:val="0"/>
              <w:rPr>
                <w:rFonts w:hint="default" w:ascii="ＭＳ ゴシック" w:hAnsi="ＭＳ ゴシック" w:eastAsia="ＭＳ ゴシック"/>
              </w:rPr>
            </w:pPr>
          </w:p>
        </w:tc>
        <w:tc>
          <w:tcPr>
            <w:tcW w:w="3248" w:type="dxa"/>
            <w:vAlign w:val="center"/>
          </w:tcPr>
          <w:p>
            <w:pPr>
              <w:pStyle w:val="0"/>
              <w:jc w:val="both"/>
              <w:rPr>
                <w:rFonts w:hint="default" w:ascii="ＭＳ ゴシック" w:hAnsi="ＭＳ ゴシック" w:eastAsia="ＭＳ ゴシック"/>
              </w:rPr>
            </w:pPr>
            <w:r>
              <w:rPr>
                <w:rFonts w:hint="eastAsia" w:ascii="ＭＳ ゴシック" w:hAnsi="ＭＳ ゴシック" w:eastAsia="ＭＳ ゴシック"/>
              </w:rPr>
              <w:t>箕面シニア塾</w:t>
            </w:r>
          </w:p>
        </w:tc>
      </w:tr>
    </w:tbl>
    <w:p>
      <w:pPr>
        <w:pStyle w:val="0"/>
        <w:rPr>
          <w:rFonts w:hint="default" w:ascii="ＭＳ ゴシック" w:hAnsi="ＭＳ ゴシック" w:eastAsia="ＭＳ ゴシック"/>
          <w:sz w:val="21"/>
        </w:rPr>
      </w:pPr>
    </w:p>
    <w:tbl>
      <w:tblPr>
        <w:tblStyle w:val="59"/>
        <w:tblW w:w="9321" w:type="dxa"/>
        <w:tblInd w:w="421" w:type="dxa"/>
        <w:tblLayout w:type="fixed"/>
        <w:tblLook w:firstRow="1" w:lastRow="0" w:firstColumn="1" w:lastColumn="0" w:noHBand="0" w:noVBand="1" w:val="04A0"/>
      </w:tblPr>
      <w:tblGrid>
        <w:gridCol w:w="2551"/>
        <w:gridCol w:w="3522"/>
        <w:gridCol w:w="3248"/>
      </w:tblGrid>
      <w:tr>
        <w:trPr/>
        <w:tc>
          <w:tcPr>
            <w:tcW w:w="2551" w:type="dxa"/>
            <w:vMerge w:val="restart"/>
            <w:vAlign w:val="center"/>
          </w:tcPr>
          <w:p>
            <w:pPr>
              <w:pStyle w:val="0"/>
              <w:jc w:val="center"/>
              <w:rPr>
                <w:rFonts w:hint="default" w:ascii="ＭＳ ゴシック" w:hAnsi="ＭＳ ゴシック" w:eastAsia="ＭＳ ゴシック"/>
              </w:rPr>
            </w:pPr>
            <w:r>
              <w:rPr>
                <w:rFonts w:hint="eastAsia" w:ascii="ＭＳ ゴシック" w:hAnsi="ＭＳ ゴシック" w:eastAsia="ＭＳ ゴシック"/>
                <w:sz w:val="24"/>
              </w:rPr>
              <w:t>続ける</w:t>
            </w:r>
          </w:p>
        </w:tc>
        <w:tc>
          <w:tcPr>
            <w:tcW w:w="3522" w:type="dxa"/>
            <w:vMerge w:val="restart"/>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自分に合った、地域のシニアクラブやグループを見つけ、文化・スポーツ・趣味活動を続ける</w:t>
            </w: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シニアクラブ・グループ活動</w:t>
            </w:r>
          </w:p>
        </w:tc>
      </w:tr>
      <w:tr>
        <w:trPr/>
        <w:tc>
          <w:tcPr>
            <w:tcW w:w="2551" w:type="dxa"/>
            <w:vMerge w:val="continue"/>
            <w:vAlign w:val="top"/>
          </w:tcPr>
          <w:p>
            <w:pPr>
              <w:pStyle w:val="0"/>
              <w:rPr>
                <w:rFonts w:hint="default" w:ascii="ＭＳ ゴシック" w:hAnsi="ＭＳ ゴシック" w:eastAsia="ＭＳ ゴシック"/>
              </w:rPr>
            </w:pPr>
          </w:p>
        </w:tc>
        <w:tc>
          <w:tcPr>
            <w:tcW w:w="3522" w:type="dxa"/>
            <w:vMerge w:val="continue"/>
            <w:vAlign w:val="top"/>
          </w:tcPr>
          <w:p>
            <w:pPr>
              <w:pStyle w:val="0"/>
              <w:rPr>
                <w:rFonts w:hint="default" w:ascii="ＭＳ ゴシック" w:hAnsi="ＭＳ ゴシック" w:eastAsia="ＭＳ ゴシック"/>
              </w:rPr>
            </w:pP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街かどデイハウス</w:t>
            </w:r>
          </w:p>
        </w:tc>
      </w:tr>
      <w:tr>
        <w:trPr/>
        <w:tc>
          <w:tcPr>
            <w:tcW w:w="2551" w:type="dxa"/>
            <w:vMerge w:val="continue"/>
            <w:vAlign w:val="top"/>
          </w:tcPr>
          <w:p>
            <w:pPr>
              <w:pStyle w:val="0"/>
              <w:rPr>
                <w:rFonts w:hint="default" w:ascii="ＭＳ ゴシック" w:hAnsi="ＭＳ ゴシック" w:eastAsia="ＭＳ ゴシック"/>
              </w:rPr>
            </w:pPr>
          </w:p>
        </w:tc>
        <w:tc>
          <w:tcPr>
            <w:tcW w:w="3522" w:type="dxa"/>
            <w:vMerge w:val="continue"/>
            <w:vAlign w:val="top"/>
          </w:tcPr>
          <w:p>
            <w:pPr>
              <w:pStyle w:val="0"/>
              <w:rPr>
                <w:rFonts w:hint="default" w:ascii="ＭＳ ゴシック" w:hAnsi="ＭＳ ゴシック" w:eastAsia="ＭＳ ゴシック"/>
              </w:rPr>
            </w:pPr>
          </w:p>
        </w:tc>
        <w:tc>
          <w:tcPr>
            <w:tcW w:w="3248" w:type="dxa"/>
            <w:vAlign w:val="top"/>
          </w:tcPr>
          <w:p>
            <w:pPr>
              <w:pStyle w:val="0"/>
              <w:rPr>
                <w:rFonts w:hint="default" w:ascii="ＭＳ ゴシック" w:hAnsi="ＭＳ ゴシック" w:eastAsia="ＭＳ ゴシック"/>
              </w:rPr>
            </w:pPr>
            <w:r>
              <w:rPr>
                <w:rFonts w:hint="eastAsia" w:ascii="ＭＳ ゴシック" w:hAnsi="ＭＳ ゴシック" w:eastAsia="ＭＳ ゴシック"/>
              </w:rPr>
              <w:t>稲ふれあいセンター</w:t>
            </w:r>
          </w:p>
        </w:tc>
      </w:tr>
    </w:tbl>
    <w:p>
      <w:pPr>
        <w:pStyle w:val="0"/>
        <w:rPr>
          <w:rFonts w:hint="default" w:ascii="ＭＳ ゴシック" w:hAnsi="ＭＳ ゴシック" w:eastAsia="ＭＳ ゴシック"/>
          <w:sz w:val="21"/>
        </w:rPr>
      </w:pPr>
    </w:p>
    <w:tbl>
      <w:tblPr>
        <w:tblStyle w:val="59"/>
        <w:tblW w:w="9355" w:type="dxa"/>
        <w:tblInd w:w="421" w:type="dxa"/>
        <w:tblLayout w:type="fixed"/>
        <w:tblLook w:firstRow="1" w:lastRow="0" w:firstColumn="1" w:lastColumn="0" w:noHBand="0" w:noVBand="1" w:val="04A0"/>
      </w:tblPr>
      <w:tblGrid>
        <w:gridCol w:w="9355"/>
      </w:tblGrid>
      <w:tr>
        <w:trPr>
          <w:trHeight w:val="360" w:hRule="atLeast"/>
        </w:trPr>
        <w:tc>
          <w:tcPr>
            <w:tcW w:w="9355" w:type="dxa"/>
            <w:vMerge w:val="restart"/>
            <w:vAlign w:val="center"/>
          </w:tcPr>
          <w:p>
            <w:pPr>
              <w:pStyle w:val="0"/>
              <w:spacing w:line="340" w:lineRule="exact"/>
              <w:ind w:firstLine="281" w:firstLineChars="100"/>
              <w:rPr>
                <w:rFonts w:hint="default" w:ascii="ＭＳ ゴシック" w:hAnsi="ＭＳ ゴシック" w:eastAsia="ＭＳ ゴシック"/>
              </w:rPr>
            </w:pPr>
            <w:r>
              <w:rPr>
                <w:rFonts w:hint="eastAsia" w:ascii="ＭＳ ゴシック" w:hAnsi="ＭＳ ゴシック" w:eastAsia="ＭＳ ゴシック"/>
                <w:b w:val="1"/>
                <w:sz w:val="28"/>
              </w:rPr>
              <w:t>介護予防・認知症予防につながる</w:t>
            </w:r>
          </w:p>
        </w:tc>
      </w:tr>
      <w:tr>
        <w:trPr>
          <w:trHeight w:val="360" w:hRule="atLeast"/>
        </w:trPr>
        <w:tc>
          <w:tcPr>
            <w:tcW w:w="9355" w:type="dxa"/>
            <w:vMerge w:val="continue"/>
            <w:vAlign w:val="top"/>
          </w:tcPr>
          <w:p>
            <w:pPr>
              <w:pStyle w:val="0"/>
              <w:rPr>
                <w:rFonts w:hint="default" w:ascii="ＭＳ ゴシック" w:hAnsi="ＭＳ ゴシック" w:eastAsia="ＭＳ ゴシック"/>
              </w:rPr>
            </w:pPr>
          </w:p>
        </w:tc>
      </w:tr>
      <w:tr>
        <w:trPr>
          <w:trHeight w:val="360" w:hRule="atLeast"/>
        </w:trPr>
        <w:tc>
          <w:tcPr>
            <w:tcW w:w="9355" w:type="dxa"/>
            <w:vMerge w:val="continue"/>
            <w:vAlign w:val="top"/>
          </w:tcPr>
          <w:p>
            <w:pPr>
              <w:pStyle w:val="0"/>
              <w:rPr>
                <w:rFonts w:hint="default" w:ascii="ＭＳ ゴシック" w:hAnsi="ＭＳ ゴシック" w:eastAsia="ＭＳ ゴシック"/>
              </w:rPr>
            </w:pPr>
          </w:p>
        </w:tc>
      </w:tr>
    </w:tbl>
    <w:p>
      <w:pPr>
        <w:pStyle w:val="0"/>
        <w:rPr>
          <w:rFonts w:hint="default" w:ascii="ＭＳ ゴシック" w:hAnsi="ＭＳ ゴシック" w:eastAsia="ＭＳ ゴシック"/>
          <w:sz w:val="21"/>
        </w:rPr>
      </w:pPr>
    </w:p>
    <w:p>
      <w:pPr>
        <w:pStyle w:val="0"/>
        <w:rPr>
          <w:rFonts w:hint="default" w:ascii="ＭＳ ゴシック" w:hAnsi="ＭＳ ゴシック" w:eastAsia="ＭＳ ゴシック"/>
          <w:sz w:val="21"/>
        </w:rPr>
      </w:pPr>
    </w:p>
    <w:p>
      <w:pPr>
        <w:rPr>
          <w:rFonts w:hint="default" w:ascii="ＭＳ ゴシック" w:hAnsi="ＭＳ ゴシック" w:eastAsia="ＭＳ ゴシック"/>
          <w:sz w:val="28"/>
        </w:rPr>
        <w:sectPr>
          <w:pgSz w:w="11906" w:h="16838"/>
          <w:pgMar w:top="1440" w:right="1077" w:bottom="1077" w:left="1077" w:header="851" w:footer="454" w:gutter="0"/>
          <w:cols w:space="720"/>
          <w:textDirection w:val="lrTb"/>
          <w:docGrid w:type="lines" w:linePitch="360"/>
        </w:sectPr>
      </w:pPr>
    </w:p>
    <w:p>
      <w:pPr>
        <w:pStyle w:val="4"/>
        <w:ind w:left="0" w:leftChars="0"/>
        <w:rPr>
          <w:rFonts w:hint="default" w:ascii="ＭＳ ゴシック" w:hAnsi="ＭＳ ゴシック" w:eastAsia="ＭＳ ゴシック"/>
          <w:b w:val="0"/>
          <w:sz w:val="28"/>
        </w:rPr>
      </w:pPr>
      <w:bookmarkStart w:id="76" w:name="_Toc59007798"/>
      <w:r>
        <w:rPr>
          <w:rFonts w:hint="eastAsia" w:ascii="ＭＳ ゴシック" w:hAnsi="ＭＳ ゴシック" w:eastAsia="ＭＳ ゴシック"/>
          <w:b w:val="0"/>
          <w:sz w:val="28"/>
        </w:rPr>
        <w:t>（３）一般介護予防事業の推進</w:t>
      </w:r>
      <w:bookmarkEnd w:id="75"/>
      <w:bookmarkEnd w:id="76"/>
    </w:p>
    <w:p>
      <w:pPr>
        <w:pStyle w:val="0"/>
        <w:ind w:firstLine="240" w:firstLineChars="100"/>
        <w:jc w:val="both"/>
        <w:rPr>
          <w:rFonts w:hint="default"/>
        </w:rPr>
      </w:pPr>
      <w:r>
        <w:rPr>
          <w:rFonts w:hint="eastAsia"/>
        </w:rPr>
        <w:t>健康で生きがいのある暮らしを推進し、自立支援と介護予防・重度化防止等の取組を進めるため、本計画でも引き続き、次の５つの一般介護予防事業を推進します。</w:t>
      </w:r>
    </w:p>
    <w:p>
      <w:pPr>
        <w:pStyle w:val="0"/>
        <w:spacing w:before="180" w:beforeLines="50" w:beforeAutospacing="0"/>
        <w:ind w:firstLine="240" w:firstLineChars="100"/>
        <w:jc w:val="both"/>
        <w:rPr>
          <w:rFonts w:hint="default"/>
          <w:color w:val="000000" w:themeColor="text1"/>
        </w:rPr>
      </w:pPr>
    </w:p>
    <w:p>
      <w:pPr>
        <w:pStyle w:val="5"/>
        <w:ind w:left="0" w:leftChars="0" w:firstLine="240" w:firstLineChars="100"/>
        <w:jc w:val="both"/>
        <w:rPr>
          <w:rFonts w:hint="default" w:ascii="ＭＳ ゴシック" w:hAnsi="ＭＳ ゴシック" w:eastAsia="ＭＳ ゴシック"/>
        </w:rPr>
      </w:pPr>
      <w:bookmarkStart w:id="77" w:name="_Toc512263430"/>
      <w:bookmarkStart w:id="78" w:name="_Toc59007799"/>
      <w:r>
        <w:rPr>
          <w:rFonts w:hint="eastAsia" w:ascii="ＭＳ ゴシック" w:hAnsi="ＭＳ ゴシック" w:eastAsia="ＭＳ ゴシック"/>
        </w:rPr>
        <w:t>ア）介護予防把握事業</w:t>
      </w:r>
      <w:bookmarkEnd w:id="77"/>
      <w:bookmarkEnd w:id="78"/>
    </w:p>
    <w:p>
      <w:pPr>
        <w:pStyle w:val="0"/>
        <w:ind w:left="480" w:leftChars="100" w:hanging="240" w:hangingChars="100"/>
        <w:jc w:val="both"/>
        <w:rPr>
          <w:rFonts w:hint="default"/>
        </w:rPr>
      </w:pPr>
      <w:r>
        <w:rPr>
          <w:rFonts w:hint="eastAsia"/>
        </w:rPr>
        <w:t>○　地域包括支援センター（高齢者くらしサポート）、社会福祉協議会、民生委員・児童委員などの関係機関と連携し、介護予防等の個別支援が必要なかたを把握し、通いの場等の介護予防活動へつなげます。また、ＫＤＢシステム</w:t>
      </w:r>
      <w:r>
        <w:rPr>
          <w:rFonts w:hint="eastAsia"/>
          <w:vertAlign w:val="superscript"/>
        </w:rPr>
        <w:t>※</w:t>
      </w:r>
      <w:r>
        <w:rPr>
          <w:rStyle w:val="42"/>
          <w:rFonts w:hint="eastAsia"/>
        </w:rPr>
        <w:footnoteReference w:id="12"/>
      </w:r>
      <w:r>
        <w:rPr>
          <w:rFonts w:hint="eastAsia"/>
        </w:rPr>
        <w:t>を活用し、地域課題の健康・介護予防の課題抽出を進めます。</w:t>
      </w:r>
    </w:p>
    <w:p>
      <w:pPr>
        <w:pStyle w:val="0"/>
        <w:ind w:left="480" w:hanging="480" w:hangingChars="200"/>
        <w:rPr>
          <w:rFonts w:hint="default"/>
          <w:color w:val="000000" w:themeColor="text1"/>
        </w:rPr>
      </w:pPr>
    </w:p>
    <w:p>
      <w:pPr>
        <w:pStyle w:val="5"/>
        <w:ind w:left="0" w:leftChars="0" w:firstLine="240" w:firstLineChars="100"/>
        <w:jc w:val="both"/>
        <w:rPr>
          <w:rFonts w:hint="default" w:ascii="ＭＳ ゴシック" w:hAnsi="ＭＳ ゴシック" w:eastAsia="ＭＳ ゴシック"/>
        </w:rPr>
      </w:pPr>
      <w:bookmarkStart w:id="79" w:name="_Toc512263431"/>
      <w:bookmarkStart w:id="80" w:name="_Toc59007800"/>
      <w:r>
        <w:rPr>
          <w:rFonts w:hint="eastAsia" w:ascii="ＭＳ ゴシック" w:hAnsi="ＭＳ ゴシック" w:eastAsia="ＭＳ ゴシック"/>
        </w:rPr>
        <w:t>イ）介護予防普及啓発事業</w:t>
      </w:r>
      <w:bookmarkEnd w:id="79"/>
      <w:bookmarkEnd w:id="80"/>
    </w:p>
    <w:p>
      <w:pPr>
        <w:pStyle w:val="0"/>
        <w:ind w:firstLine="240" w:firstLineChars="100"/>
        <w:jc w:val="both"/>
        <w:rPr>
          <w:rFonts w:hint="default"/>
        </w:rPr>
      </w:pPr>
      <w:r>
        <w:rPr>
          <w:rFonts w:hint="eastAsia"/>
        </w:rPr>
        <w:t>○　介護予防普及啓発事業では、次の取組を適宜実施します。</w:t>
      </w:r>
    </w:p>
    <w:p>
      <w:pPr>
        <w:pStyle w:val="0"/>
        <w:ind w:firstLine="720" w:firstLineChars="300"/>
        <w:jc w:val="both"/>
        <w:rPr>
          <w:rFonts w:hint="default"/>
        </w:rPr>
      </w:pPr>
      <w:r>
        <w:rPr>
          <w:rFonts w:hint="eastAsia"/>
        </w:rPr>
        <w:t>・介護予防に関する啓発チラシ・パンフレット等の作成と配布</w:t>
      </w:r>
    </w:p>
    <w:p>
      <w:pPr>
        <w:pStyle w:val="0"/>
        <w:ind w:firstLine="720" w:firstLineChars="300"/>
        <w:jc w:val="both"/>
        <w:rPr>
          <w:rFonts w:hint="default"/>
          <w:color w:val="000000" w:themeColor="text1"/>
        </w:rPr>
      </w:pPr>
      <w:r>
        <w:rPr>
          <w:rFonts w:hint="eastAsia"/>
          <w:color w:val="000000" w:themeColor="text1"/>
        </w:rPr>
        <w:t>・有識者や専門職等による講演会や相談会等の開催</w:t>
      </w:r>
    </w:p>
    <w:p>
      <w:pPr>
        <w:pStyle w:val="0"/>
        <w:ind w:left="960" w:leftChars="300" w:hanging="240" w:hangingChars="100"/>
        <w:jc w:val="both"/>
        <w:rPr>
          <w:rFonts w:hint="default"/>
          <w:color w:val="000000" w:themeColor="text1"/>
        </w:rPr>
      </w:pPr>
      <w:r>
        <w:rPr>
          <w:rFonts w:hint="eastAsia"/>
          <w:color w:val="000000" w:themeColor="text1"/>
        </w:rPr>
        <w:t>・運動器の機能向上、認知症予防、口腔機能向上を目的とした介護予防教室等の開催</w:t>
      </w:r>
    </w:p>
    <w:p>
      <w:pPr>
        <w:pStyle w:val="0"/>
        <w:ind w:left="480" w:leftChars="200" w:firstLine="240" w:firstLineChars="100"/>
        <w:jc w:val="both"/>
        <w:rPr>
          <w:rFonts w:hint="default" w:ascii="ＭＳ ゴシック" w:hAnsi="ＭＳ ゴシック" w:eastAsia="ＭＳ ゴシック"/>
          <w:color w:val="000000" w:themeColor="text1"/>
        </w:rPr>
      </w:pPr>
      <w:r>
        <w:rPr>
          <w:rFonts w:hint="eastAsia"/>
          <w:color w:val="000000" w:themeColor="text1"/>
        </w:rPr>
        <w:t>・自宅で手軽にできる運動メニューの提示</w:t>
      </w:r>
    </w:p>
    <w:p>
      <w:pPr>
        <w:pStyle w:val="0"/>
        <w:ind w:left="960" w:leftChars="300" w:hanging="240" w:hangingChars="100"/>
        <w:jc w:val="both"/>
        <w:rPr>
          <w:rFonts w:hint="default" w:ascii="ＭＳ ゴシック" w:hAnsi="ＭＳ ゴシック" w:eastAsia="ＭＳ ゴシック"/>
          <w:color w:val="000000" w:themeColor="text1"/>
        </w:rPr>
      </w:pPr>
      <w:r>
        <w:rPr>
          <w:rFonts w:hint="eastAsia"/>
          <w:color w:val="000000" w:themeColor="text1"/>
        </w:rPr>
        <w:t>・箕面シニア塾（文化・健康コース、スポーツコース）での介護予防の視点を取り入れた教室の開催</w:t>
      </w:r>
    </w:p>
    <w:p>
      <w:pPr>
        <w:pStyle w:val="0"/>
        <w:ind w:left="480" w:leftChars="200" w:firstLine="240" w:firstLineChars="100"/>
        <w:jc w:val="both"/>
        <w:rPr>
          <w:rFonts w:hint="default" w:ascii="ＭＳ ゴシック" w:hAnsi="ＭＳ ゴシック" w:eastAsia="ＭＳ ゴシック"/>
          <w:color w:val="000000" w:themeColor="text1"/>
        </w:rPr>
      </w:pPr>
      <w:r>
        <w:rPr>
          <w:rFonts w:hint="eastAsia"/>
          <w:color w:val="000000" w:themeColor="text1"/>
        </w:rPr>
        <w:t>・健康相談会、運動トレーナーによる体操指導等の実施</w:t>
      </w:r>
    </w:p>
    <w:p>
      <w:pPr>
        <w:pStyle w:val="0"/>
        <w:ind w:firstLine="720" w:firstLineChars="300"/>
        <w:jc w:val="both"/>
        <w:rPr>
          <w:rFonts w:hint="default"/>
          <w:color w:val="000000" w:themeColor="text1"/>
        </w:rPr>
      </w:pPr>
    </w:p>
    <w:p>
      <w:pPr>
        <w:pStyle w:val="5"/>
        <w:ind w:left="0" w:leftChars="0" w:firstLine="240" w:firstLineChars="100"/>
        <w:jc w:val="both"/>
        <w:rPr>
          <w:rFonts w:hint="default" w:ascii="ＭＳ ゴシック" w:hAnsi="ＭＳ ゴシック" w:eastAsia="ＭＳ ゴシック"/>
        </w:rPr>
      </w:pPr>
      <w:bookmarkStart w:id="81" w:name="_Toc512263432"/>
      <w:bookmarkStart w:id="82" w:name="_Toc59007801"/>
      <w:r>
        <w:rPr>
          <w:rFonts w:hint="eastAsia" w:ascii="ＭＳ ゴシック" w:hAnsi="ＭＳ ゴシック" w:eastAsia="ＭＳ ゴシック"/>
        </w:rPr>
        <w:t>ウ）地域介護予防活動支援事業</w:t>
      </w:r>
      <w:bookmarkEnd w:id="81"/>
      <w:bookmarkEnd w:id="82"/>
    </w:p>
    <w:p>
      <w:pPr>
        <w:pStyle w:val="0"/>
        <w:ind w:firstLine="240" w:firstLineChars="100"/>
        <w:jc w:val="both"/>
        <w:rPr>
          <w:rFonts w:hint="default"/>
        </w:rPr>
      </w:pPr>
      <w:r>
        <w:rPr>
          <w:rFonts w:hint="eastAsia"/>
        </w:rPr>
        <w:t>○　地域における住民主体の介護予防活動の育成・支援を行います。</w:t>
      </w:r>
    </w:p>
    <w:p>
      <w:pPr>
        <w:pStyle w:val="0"/>
        <w:ind w:left="960" w:leftChars="300" w:hanging="240" w:hangingChars="100"/>
        <w:jc w:val="both"/>
        <w:rPr>
          <w:rFonts w:hint="default"/>
          <w:color w:val="000000" w:themeColor="text1"/>
        </w:rPr>
      </w:pPr>
      <w:r>
        <w:rPr>
          <w:rFonts w:hint="eastAsia"/>
          <w:color w:val="000000" w:themeColor="text1"/>
        </w:rPr>
        <w:t>・介護予防活動のリーダーやボランティア等の人材育成のための研修等の開催と修了者の活動へのつなぎ</w:t>
      </w:r>
    </w:p>
    <w:p>
      <w:pPr>
        <w:pStyle w:val="0"/>
        <w:ind w:left="960" w:leftChars="300" w:hanging="240" w:hangingChars="100"/>
        <w:jc w:val="both"/>
        <w:rPr>
          <w:rFonts w:hint="default"/>
          <w:color w:val="000000" w:themeColor="text1"/>
        </w:rPr>
      </w:pPr>
      <w:r>
        <w:rPr>
          <w:rFonts w:hint="eastAsia"/>
          <w:color w:val="000000" w:themeColor="text1"/>
        </w:rPr>
        <w:t>・シニアクラブ活動や、社会福祉協議会地区福祉会による高齢者ふれあいいきいきサロンなどの地域活動の支援</w:t>
      </w:r>
    </w:p>
    <w:p>
      <w:pPr>
        <w:pStyle w:val="0"/>
        <w:ind w:left="960" w:leftChars="300" w:hanging="240" w:hangingChars="100"/>
        <w:jc w:val="both"/>
        <w:rPr>
          <w:rFonts w:hint="default"/>
          <w:color w:val="000000" w:themeColor="text1"/>
        </w:rPr>
      </w:pPr>
      <w:r>
        <w:rPr>
          <w:rFonts w:hint="eastAsia"/>
          <w:color w:val="000000" w:themeColor="text1"/>
        </w:rPr>
        <w:t>・シニア活動応援交付金による地域グループ・サークル活動の立ち上げ・活性化支援</w:t>
      </w:r>
    </w:p>
    <w:p>
      <w:pPr>
        <w:pStyle w:val="0"/>
        <w:ind w:left="480" w:leftChars="200" w:firstLine="240" w:firstLineChars="100"/>
        <w:jc w:val="both"/>
        <w:rPr>
          <w:rFonts w:hint="default" w:ascii="ＭＳ ゴシック" w:hAnsi="ＭＳ ゴシック" w:eastAsia="ＭＳ ゴシック"/>
          <w:color w:val="000000" w:themeColor="text1"/>
        </w:rPr>
      </w:pPr>
      <w:r>
        <w:rPr>
          <w:rFonts w:hint="eastAsia"/>
          <w:color w:val="000000" w:themeColor="text1"/>
        </w:rPr>
        <w:t>・</w:t>
      </w:r>
      <w:r>
        <w:rPr>
          <w:rFonts w:hint="eastAsia"/>
        </w:rPr>
        <w:t>運動トレーナー派遣による体操グループなどの立ち上げ・活性化支援</w:t>
      </w:r>
    </w:p>
    <w:p>
      <w:pPr>
        <w:pStyle w:val="0"/>
        <w:ind w:left="480" w:leftChars="200" w:firstLine="240" w:firstLineChars="100"/>
        <w:jc w:val="both"/>
        <w:rPr>
          <w:rFonts w:hint="default" w:ascii="ＭＳ ゴシック" w:hAnsi="ＭＳ ゴシック" w:eastAsia="ＭＳ ゴシック"/>
          <w:color w:val="000000" w:themeColor="text1"/>
        </w:rPr>
      </w:pPr>
      <w:r>
        <w:rPr>
          <w:rFonts w:hint="eastAsia"/>
        </w:rPr>
        <w:t>・からだの元気度測定会の開催による地域グループの活性化支援</w:t>
      </w:r>
    </w:p>
    <w:p>
      <w:pPr>
        <w:pStyle w:val="0"/>
        <w:ind w:left="960" w:leftChars="300" w:hanging="240" w:hangingChars="100"/>
        <w:jc w:val="both"/>
        <w:rPr>
          <w:rFonts w:hint="default"/>
          <w:color w:val="000000" w:themeColor="text1"/>
        </w:rPr>
      </w:pPr>
      <w:r>
        <w:rPr>
          <w:rFonts w:hint="eastAsia"/>
          <w:color w:val="000000" w:themeColor="text1"/>
        </w:rPr>
        <w:t>・街かどデイハウスの運営補助</w:t>
      </w:r>
    </w:p>
    <w:p>
      <w:pPr>
        <w:pStyle w:val="0"/>
        <w:ind w:left="960" w:leftChars="100" w:hanging="720" w:hangingChars="300"/>
        <w:jc w:val="both"/>
        <w:rPr>
          <w:rFonts w:hint="default"/>
        </w:rPr>
      </w:pPr>
      <w:r>
        <w:rPr>
          <w:rFonts w:hint="eastAsia"/>
        </w:rPr>
        <w:t>　　・稲ふれあいセンターでの運動トレーナーによる体操指導、からだの元気度測定会、パワープレート新規講習会、見学・体験会などの活性化の取組及び新たな利用者を増やすための取組</w:t>
      </w:r>
    </w:p>
    <w:p>
      <w:pPr>
        <w:pStyle w:val="5"/>
        <w:ind w:left="0" w:leftChars="0" w:firstLine="240" w:firstLineChars="100"/>
        <w:jc w:val="both"/>
        <w:rPr>
          <w:rFonts w:hint="default" w:ascii="ＭＳ ゴシック" w:hAnsi="ＭＳ ゴシック" w:eastAsia="ＭＳ ゴシック"/>
        </w:rPr>
      </w:pPr>
      <w:bookmarkStart w:id="83" w:name="_Toc512263433"/>
      <w:bookmarkStart w:id="84" w:name="_Toc59007802"/>
      <w:r>
        <w:rPr>
          <w:rFonts w:hint="eastAsia" w:ascii="ＭＳ ゴシック" w:hAnsi="ＭＳ ゴシック" w:eastAsia="ＭＳ ゴシック"/>
        </w:rPr>
        <w:t>エ）一般介護予防事業評価事業</w:t>
      </w:r>
      <w:bookmarkEnd w:id="83"/>
      <w:bookmarkEnd w:id="84"/>
    </w:p>
    <w:p>
      <w:pPr>
        <w:pStyle w:val="0"/>
        <w:ind w:left="480" w:leftChars="100" w:hanging="240" w:hangingChars="100"/>
        <w:jc w:val="both"/>
        <w:rPr>
          <w:rFonts w:hint="default"/>
        </w:rPr>
      </w:pPr>
      <w:r>
        <w:rPr>
          <w:rFonts w:hint="eastAsia"/>
        </w:rPr>
        <w:t>○　一般</w:t>
      </w:r>
      <w:r>
        <w:rPr>
          <w:rFonts w:hint="eastAsia"/>
          <w:color w:val="000000" w:themeColor="text1"/>
        </w:rPr>
        <w:t>介護予防事業の検証・評価を行い、事業の見直しを適宜行うなどＰＤＣＡサイクルを進めます。評価を実施するにあたっては、保険者機能強化推進交付金等の評価結果なども活用します。</w:t>
      </w:r>
    </w:p>
    <w:p>
      <w:pPr>
        <w:pStyle w:val="0"/>
        <w:rPr>
          <w:rFonts w:hint="default"/>
          <w:color w:val="000000" w:themeColor="text1"/>
        </w:rPr>
      </w:pPr>
    </w:p>
    <w:p>
      <w:pPr>
        <w:pStyle w:val="5"/>
        <w:ind w:left="0" w:leftChars="0" w:firstLine="240" w:firstLineChars="100"/>
        <w:jc w:val="both"/>
        <w:rPr>
          <w:rFonts w:hint="default" w:ascii="ＭＳ ゴシック" w:hAnsi="ＭＳ ゴシック" w:eastAsia="ＭＳ ゴシック"/>
          <w:color w:val="000000" w:themeColor="text1"/>
        </w:rPr>
      </w:pPr>
      <w:bookmarkStart w:id="85" w:name="_Toc512263434"/>
      <w:bookmarkStart w:id="86" w:name="_Toc59007803"/>
      <w:r>
        <w:rPr>
          <w:rFonts w:hint="eastAsia" w:ascii="ＭＳ ゴシック" w:hAnsi="ＭＳ ゴシック" w:eastAsia="ＭＳ ゴシック"/>
        </w:rPr>
        <w:t>オ）地域リハビリテーション活動支援事業</w:t>
      </w:r>
      <w:bookmarkEnd w:id="85"/>
      <w:bookmarkEnd w:id="86"/>
    </w:p>
    <w:p>
      <w:pPr>
        <w:pStyle w:val="0"/>
        <w:ind w:left="480" w:leftChars="100" w:hanging="240" w:hangingChars="100"/>
        <w:jc w:val="both"/>
        <w:rPr>
          <w:rFonts w:hint="default"/>
          <w:color w:val="000000" w:themeColor="text1"/>
        </w:rPr>
      </w:pPr>
      <w:r>
        <w:rPr>
          <w:rFonts w:hint="eastAsia"/>
          <w:color w:val="000000" w:themeColor="text1"/>
        </w:rPr>
        <w:t>○　地域における自立支援・介護予防の取組を効果的に行うため、市医療職（理学療法士、作業療法士、保健師、歯科衛生士）が、訪問型サービス・通所型サービス、多職種連携元気サポート会議・自立支援型個別会議、通いの場等の取組を、地域包括支援センターと連携し総合的に支援します。</w:t>
      </w:r>
    </w:p>
    <w:p>
      <w:pPr>
        <w:pStyle w:val="0"/>
        <w:ind w:left="480" w:leftChars="200" w:firstLine="240" w:firstLineChars="100"/>
        <w:jc w:val="both"/>
        <w:rPr>
          <w:rFonts w:hint="default"/>
        </w:rPr>
      </w:pPr>
      <w:r>
        <w:rPr>
          <w:rFonts w:hint="eastAsia"/>
          <w:color w:val="000000" w:themeColor="text1"/>
        </w:rPr>
        <w:t>また、市医療職が介護予防事業を全面的に担い、専門性を生かした事業展開を進めます。</w:t>
      </w:r>
    </w:p>
    <w:p>
      <w:pPr>
        <w:pStyle w:val="0"/>
        <w:jc w:val="center"/>
        <w:rPr>
          <w:rFonts w:hint="default"/>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84</w:t>
      </w:r>
      <w:r>
        <w:rPr>
          <w:rFonts w:hint="eastAsia" w:ascii="ＭＳ ゴシック" w:hAnsi="ＭＳ ゴシック" w:eastAsia="ＭＳ ゴシック"/>
          <w:sz w:val="21"/>
        </w:rPr>
        <w:t>：地域リハビリテーション活動支援事業</w:t>
      </w:r>
    </w:p>
    <w:p>
      <w:pPr>
        <w:pStyle w:val="0"/>
        <w:jc w:val="center"/>
        <w:rPr>
          <w:rFonts w:hint="default"/>
        </w:rPr>
      </w:pPr>
      <w:r>
        <w:rPr>
          <w:rFonts w:hint="default"/>
        </w:rPr>
        <w:drawing>
          <wp:inline distT="0" distB="0" distL="0" distR="0">
            <wp:extent cx="6091555" cy="3495675"/>
            <wp:effectExtent l="0" t="0" r="0" b="0"/>
            <wp:docPr id="1231" name="オブジェクト 0"/>
            <a:graphic xmlns:a="http://schemas.openxmlformats.org/drawingml/2006/main">
              <a:graphicData uri="http://schemas.openxmlformats.org/drawingml/2006/picture">
                <pic:pic xmlns:pic="http://schemas.openxmlformats.org/drawingml/2006/picture">
                  <pic:nvPicPr>
                    <pic:cNvPr id="1231" name="オブジェクト 0"/>
                    <pic:cNvPicPr/>
                  </pic:nvPicPr>
                  <pic:blipFill>
                    <a:blip r:embed="rId91"/>
                    <a:srcRect t="3346"/>
                    <a:stretch>
                      <a:fillRect/>
                    </a:stretch>
                  </pic:blipFill>
                  <pic:spPr>
                    <a:xfrm>
                      <a:off x="0" y="0"/>
                      <a:ext cx="6091555" cy="3495675"/>
                    </a:xfrm>
                    <a:prstGeom prst="rect">
                      <a:avLst/>
                    </a:prstGeom>
                    <a:ln>
                      <a:noFill/>
                    </a:ln>
                  </pic:spPr>
                </pic:pic>
              </a:graphicData>
            </a:graphic>
          </wp:inline>
        </w:drawing>
      </w:r>
    </w:p>
    <w:p>
      <w:pPr>
        <w:pStyle w:val="0"/>
        <w:rPr>
          <w:rFonts w:hint="default" w:ascii="ＭＳ ゴシック" w:hAnsi="ＭＳ ゴシック" w:eastAsia="ＭＳ ゴシック"/>
          <w:highlight w:val="yellow"/>
        </w:rPr>
      </w:pPr>
      <w:r>
        <w:rPr>
          <w:rFonts w:hint="eastAsia" w:ascii="ＭＳ ゴシック" w:hAnsi="ＭＳ ゴシック" w:eastAsia="ＭＳ ゴシック"/>
          <w:highlight w:val="none"/>
        </w:rPr>
        <w:t>カ）要介護者等に対するリハビリテーションサービス提供体制</w:t>
      </w:r>
    </w:p>
    <w:p>
      <w:pPr>
        <w:pStyle w:val="0"/>
        <w:ind w:left="240" w:hanging="240" w:hangingChars="100"/>
        <w:rPr>
          <w:rFonts w:hint="default"/>
        </w:rPr>
      </w:pPr>
      <w:r>
        <w:rPr>
          <w:rFonts w:hint="eastAsia"/>
        </w:rPr>
        <w:t>○　本市では、介護保険サービス等に従事するリハビリテーション専門職が、全国平均よりも多い状況です。市や関係機関が連携することにより、地域でリハビリテーション専門職が果たすべき役割や課題についての認識の共有を図ります。</w:t>
      </w:r>
    </w:p>
    <w:p>
      <w:pPr>
        <w:pStyle w:val="0"/>
        <w:ind w:left="240" w:hanging="240" w:hangingChars="100"/>
        <w:rPr>
          <w:rFonts w:hint="default"/>
        </w:rPr>
      </w:pPr>
      <w:r>
        <w:rPr>
          <w:rFonts w:hint="eastAsia"/>
        </w:rPr>
        <w:t>○　本市では、訪問によるリハビリテーションの利用件数が多く、提供体制も確保されています。これを維持するとともに、今後は給付適正化の側面から、認知能力に問題がなく、トレーニングを自己管理できる利用者については、通所によるリハビリテーション（通所リハビリテーション、通所型サービスＣ（短期集中型）、通所型サービスＡ（緩和型）など）の利用促進を図ります。</w:t>
      </w:r>
    </w:p>
    <w:p>
      <w:pPr>
        <w:pStyle w:val="4"/>
        <w:ind w:left="0" w:leftChars="0"/>
        <w:rPr>
          <w:rFonts w:hint="default" w:ascii="ＭＳ ゴシック" w:hAnsi="ＭＳ ゴシック" w:eastAsia="ＭＳ ゴシック"/>
          <w:b w:val="0"/>
          <w:sz w:val="28"/>
        </w:rPr>
        <w:sectPr>
          <w:pgSz w:w="11906" w:h="16838"/>
          <w:pgMar w:top="1440" w:right="1080" w:bottom="1440" w:left="1080" w:header="851" w:footer="454" w:gutter="0"/>
          <w:cols w:space="720"/>
          <w:textDirection w:val="lrTb"/>
          <w:docGrid w:type="lines" w:linePitch="360"/>
        </w:sectPr>
      </w:pPr>
      <w:bookmarkStart w:id="87" w:name="_Toc512263435"/>
    </w:p>
    <w:p>
      <w:pPr>
        <w:pStyle w:val="4"/>
        <w:ind w:left="0" w:leftChars="0"/>
        <w:rPr>
          <w:rFonts w:hint="default" w:ascii="ＭＳ ゴシック" w:hAnsi="ＭＳ ゴシック" w:eastAsia="ＭＳ ゴシック"/>
          <w:b w:val="0"/>
          <w:sz w:val="28"/>
        </w:rPr>
      </w:pPr>
      <w:bookmarkStart w:id="88" w:name="_Toc59007804"/>
      <w:r>
        <w:rPr>
          <w:rFonts w:hint="eastAsia" w:ascii="ＭＳ ゴシック" w:hAnsi="ＭＳ ゴシック" w:eastAsia="ＭＳ ゴシック"/>
          <w:b w:val="0"/>
          <w:sz w:val="28"/>
        </w:rPr>
        <w:t>（４）生きがい支援の充実、社会参加・参画の促進</w:t>
      </w:r>
      <w:bookmarkEnd w:id="87"/>
      <w:bookmarkEnd w:id="88"/>
    </w:p>
    <w:p>
      <w:pPr>
        <w:pStyle w:val="5"/>
        <w:ind w:left="0" w:leftChars="0" w:firstLine="240" w:firstLineChars="100"/>
        <w:jc w:val="both"/>
        <w:rPr>
          <w:rFonts w:hint="default" w:ascii="ＭＳ ゴシック" w:hAnsi="ＭＳ ゴシック" w:eastAsia="ＭＳ ゴシック"/>
        </w:rPr>
      </w:pPr>
      <w:bookmarkStart w:id="89" w:name="_Toc59007805"/>
      <w:r>
        <w:rPr>
          <w:rFonts w:hint="eastAsia" w:ascii="ＭＳ ゴシック" w:hAnsi="ＭＳ ゴシック" w:eastAsia="ＭＳ ゴシック"/>
        </w:rPr>
        <w:t>ア）生涯学習・スポーツの振興</w:t>
      </w:r>
      <w:bookmarkEnd w:id="89"/>
    </w:p>
    <w:p>
      <w:pPr>
        <w:pStyle w:val="0"/>
        <w:ind w:left="480" w:leftChars="100" w:hanging="240" w:hangingChars="100"/>
        <w:jc w:val="both"/>
        <w:rPr>
          <w:rFonts w:hint="default"/>
          <w:color w:val="000000" w:themeColor="text1"/>
        </w:rPr>
      </w:pPr>
      <w:r>
        <w:rPr>
          <w:rFonts w:hint="eastAsia"/>
        </w:rPr>
        <w:t>○　高齢者の学習意欲や社会参加意欲を高めることは、介護予防や閉じこもり予防、</w:t>
      </w:r>
      <w:r>
        <w:rPr>
          <w:rFonts w:hint="eastAsia"/>
          <w:color w:val="000000" w:themeColor="text1"/>
        </w:rPr>
        <w:t>健康づくりに役立ち、いきいきとした豊かな日常生活へとつながることから、生涯学習センターの「生涯学習講座」や介護予防の視点を取り入れた「箕面シニア塾」等の実施により、高齢者の外出と健康づくりの機会を提供します。</w:t>
      </w:r>
    </w:p>
    <w:p>
      <w:pPr>
        <w:pStyle w:val="0"/>
        <w:ind w:left="480" w:leftChars="100" w:hanging="240" w:hangingChars="100"/>
        <w:jc w:val="both"/>
        <w:rPr>
          <w:rFonts w:hint="default"/>
          <w:color w:val="000000" w:themeColor="text1"/>
        </w:rPr>
      </w:pPr>
      <w:r>
        <w:rPr>
          <w:rFonts w:hint="eastAsia"/>
          <w:color w:val="000000" w:themeColor="text1"/>
        </w:rPr>
        <w:t>○　「シニア活動応援交付金」を活用し、新たな地域グループ・サークル活動の立ち上げや、既存の活動の活性化を図り、高齢者の社会参加を促進します。</w:t>
      </w:r>
    </w:p>
    <w:p>
      <w:pPr>
        <w:pStyle w:val="0"/>
        <w:ind w:left="480" w:leftChars="100" w:hanging="240" w:hangingChars="100"/>
        <w:jc w:val="both"/>
        <w:rPr>
          <w:rFonts w:hint="default"/>
        </w:rPr>
      </w:pPr>
      <w:r>
        <w:rPr>
          <w:rFonts w:hint="eastAsia"/>
        </w:rPr>
        <w:t>○　図書館への来館が困難な高齢者に対し、高齢者施設に対する団体貸出の活用による図書館サービスを推進します。</w:t>
      </w:r>
    </w:p>
    <w:p>
      <w:pPr>
        <w:pStyle w:val="0"/>
        <w:ind w:left="480" w:leftChars="100" w:hanging="240" w:hangingChars="100"/>
        <w:jc w:val="both"/>
        <w:rPr>
          <w:rFonts w:hint="default"/>
          <w:color w:val="000000" w:themeColor="text1"/>
        </w:rPr>
      </w:pPr>
      <w:r>
        <w:rPr>
          <w:rFonts w:hint="eastAsia"/>
          <w:color w:val="000000" w:themeColor="text1"/>
        </w:rPr>
        <w:t>○　市立スポーツ施設について、快適なスポーツ環境を保つため、「スポーツ施設マネジメント計画」に沿って、定期的な施設改修と用具・備品の更新を実施します。</w:t>
      </w:r>
    </w:p>
    <w:p>
      <w:pPr>
        <w:pStyle w:val="0"/>
        <w:ind w:left="480" w:leftChars="100" w:hanging="240" w:hangingChars="100"/>
        <w:jc w:val="both"/>
        <w:rPr>
          <w:rFonts w:hint="default"/>
        </w:rPr>
      </w:pPr>
      <w:r>
        <w:rPr>
          <w:rFonts w:hint="eastAsia"/>
        </w:rPr>
        <w:t>○　スポーツ振興と介護予防事業との連携を強化し、令和元年度に新設した「箕面シニア塾・スポーツコース」</w:t>
      </w:r>
      <w:r>
        <w:rPr>
          <w:rFonts w:hint="eastAsia"/>
          <w:color w:val="000000" w:themeColor="text1"/>
        </w:rPr>
        <w:t>の充実を図ります。また、継続的なスポーツによる外出機会を増やすために、スポーツのつどい及びスポーツ教室の高齢者向け教室の枠拡大を図るように箕面市立総合運動場の指定管理者と調整していきます。</w:t>
      </w:r>
    </w:p>
    <w:p>
      <w:pPr>
        <w:pStyle w:val="0"/>
        <w:ind w:left="480" w:leftChars="100" w:hanging="240" w:hangingChars="100"/>
        <w:jc w:val="both"/>
        <w:rPr>
          <w:rFonts w:hint="default"/>
        </w:rPr>
      </w:pPr>
      <w:r>
        <w:rPr>
          <w:rFonts w:hint="eastAsia"/>
        </w:rPr>
        <w:t>○　生涯学習センターやスポーツ施設等の既存施設に限らず、様々な拠点での高齢者の学習及びスポーツの機会の確保に努めます。</w:t>
      </w:r>
    </w:p>
    <w:p>
      <w:pPr>
        <w:pStyle w:val="0"/>
        <w:ind w:left="480" w:leftChars="100" w:hanging="240" w:hangingChars="100"/>
        <w:jc w:val="both"/>
        <w:rPr>
          <w:rFonts w:hint="default"/>
          <w:color w:val="000000" w:themeColor="text1"/>
        </w:rPr>
      </w:pPr>
    </w:p>
    <w:p>
      <w:pPr>
        <w:pStyle w:val="5"/>
        <w:ind w:left="0" w:leftChars="0" w:firstLine="240" w:firstLineChars="100"/>
        <w:jc w:val="both"/>
        <w:rPr>
          <w:rFonts w:hint="default" w:ascii="ＭＳ ゴシック" w:hAnsi="ＭＳ ゴシック" w:eastAsia="ＭＳ ゴシック"/>
          <w:color w:val="000000" w:themeColor="text1"/>
        </w:rPr>
      </w:pPr>
      <w:bookmarkStart w:id="90" w:name="_Toc59007806"/>
      <w:r>
        <w:rPr>
          <w:rFonts w:hint="eastAsia" w:ascii="ＭＳ ゴシック" w:hAnsi="ＭＳ ゴシック" w:eastAsia="ＭＳ ゴシック"/>
        </w:rPr>
        <w:t>イ）</w:t>
      </w:r>
      <w:r>
        <w:rPr>
          <w:rFonts w:hint="eastAsia" w:ascii="ＭＳ ゴシック" w:hAnsi="ＭＳ ゴシック" w:eastAsia="ＭＳ ゴシック"/>
          <w:color w:val="000000" w:themeColor="text1"/>
        </w:rPr>
        <w:t>シニアクラブ活動の支援</w:t>
      </w:r>
      <w:bookmarkEnd w:id="90"/>
    </w:p>
    <w:p>
      <w:pPr>
        <w:pStyle w:val="0"/>
        <w:ind w:left="480" w:leftChars="100" w:hanging="240" w:hangingChars="100"/>
        <w:jc w:val="both"/>
        <w:rPr>
          <w:rFonts w:hint="default"/>
          <w:color w:val="000000" w:themeColor="text1"/>
        </w:rPr>
      </w:pPr>
      <w:r>
        <w:rPr>
          <w:rFonts w:hint="eastAsia"/>
          <w:color w:val="000000" w:themeColor="text1"/>
        </w:rPr>
        <w:t>○　本市では、シニアクラブ連合会及び地区単位シニアクラブの主体的な取組を支援するとともに、地域での支え合い・助け合いの担い手となる高齢者リーダーの養成、会員加入促進に向けた取組を支援します。</w:t>
      </w:r>
    </w:p>
    <w:p>
      <w:pPr>
        <w:pStyle w:val="0"/>
        <w:ind w:left="480" w:leftChars="100" w:hanging="240" w:hangingChars="100"/>
        <w:jc w:val="both"/>
        <w:rPr>
          <w:rFonts w:hint="default"/>
          <w:color w:val="000000" w:themeColor="text1"/>
        </w:rPr>
      </w:pPr>
      <w:r>
        <w:rPr>
          <w:rFonts w:hint="eastAsia"/>
        </w:rPr>
        <w:t>○　</w:t>
      </w:r>
      <w:r>
        <w:rPr>
          <w:rFonts w:hint="eastAsia"/>
          <w:color w:val="000000" w:themeColor="text1"/>
        </w:rPr>
        <w:t>シニアクラブ連合会が取り組む、３ゼロ運動（ねたきりゼロ、認知症ゼロ、交通事故ゼロ）による支え合い・助け合いの取組や、高齢者福祉大会・高齢者作品展・高齢者健康セミナー、稲ふれあいセンターでの同好会活動等の各種事業による社会参加の機会提供を支援します。</w:t>
      </w:r>
    </w:p>
    <w:p>
      <w:pPr>
        <w:pStyle w:val="0"/>
        <w:ind w:left="480" w:leftChars="100" w:hanging="240" w:hangingChars="100"/>
        <w:jc w:val="both"/>
        <w:rPr>
          <w:rFonts w:hint="default"/>
          <w:color w:val="000000" w:themeColor="text1"/>
        </w:rPr>
      </w:pPr>
      <w:r>
        <w:rPr>
          <w:rFonts w:hint="eastAsia"/>
          <w:color w:val="000000" w:themeColor="text1"/>
        </w:rPr>
        <w:t>○　地区単位シニアクラブによる、身近な地域での自主的な健康づくり活動等を支援し、より多くの高齢者の参加を促します。</w:t>
      </w:r>
    </w:p>
    <w:p>
      <w:pPr>
        <w:pStyle w:val="0"/>
        <w:ind w:left="480" w:leftChars="100" w:hanging="240" w:hangingChars="100"/>
        <w:jc w:val="both"/>
        <w:rPr>
          <w:rFonts w:hint="default"/>
          <w:color w:val="000000" w:themeColor="text1"/>
        </w:rPr>
      </w:pPr>
      <w:r>
        <w:rPr>
          <w:rFonts w:hint="eastAsia"/>
          <w:color w:val="000000" w:themeColor="text1"/>
        </w:rPr>
        <w:t>○　各小学校区を活動基盤とする社会福祉協議会地区福祉会や民生委員児童委員協議会とシニアクラブとの連携強化を促進し、高齢者をはじめとする地域住民がお互いに地域コミュニティを支え活躍する環境づくりを進めます。</w:t>
      </w:r>
    </w:p>
    <w:p>
      <w:pPr>
        <w:pStyle w:val="0"/>
        <w:ind w:left="480" w:leftChars="100" w:hanging="240" w:hangingChars="100"/>
        <w:rPr>
          <w:rFonts w:hint="default"/>
          <w:color w:val="000000" w:themeColor="text1"/>
        </w:rPr>
      </w:pPr>
    </w:p>
    <w:p>
      <w:pPr>
        <w:pStyle w:val="5"/>
        <w:ind w:left="0" w:leftChars="0" w:firstLine="240" w:firstLineChars="100"/>
        <w:rPr>
          <w:rFonts w:hint="default" w:ascii="ＭＳ ゴシック" w:hAnsi="ＭＳ ゴシック" w:eastAsia="ＭＳ ゴシック"/>
        </w:rPr>
      </w:pPr>
      <w:bookmarkStart w:id="91" w:name="_Toc59007807"/>
      <w:r>
        <w:rPr>
          <w:rFonts w:hint="eastAsia" w:ascii="ＭＳ ゴシック" w:hAnsi="ＭＳ ゴシック" w:eastAsia="ＭＳ ゴシック"/>
        </w:rPr>
        <w:t>ウ）高齢者の交流・活動拠点の運営</w:t>
      </w:r>
      <w:bookmarkEnd w:id="91"/>
    </w:p>
    <w:p>
      <w:pPr>
        <w:pStyle w:val="0"/>
        <w:ind w:firstLine="240" w:firstLineChars="100"/>
        <w:jc w:val="both"/>
        <w:rPr>
          <w:rFonts w:hint="default"/>
        </w:rPr>
      </w:pPr>
      <w:r>
        <w:rPr>
          <w:rFonts w:hint="eastAsia" w:ascii="ＭＳ ゴシック" w:hAnsi="ＭＳ ゴシック" w:eastAsia="ＭＳ ゴシック"/>
        </w:rPr>
        <w:t>①稲ふれあいセンター（箕面市立多世代交流センター）</w:t>
      </w:r>
    </w:p>
    <w:p>
      <w:pPr>
        <w:pStyle w:val="0"/>
        <w:ind w:left="720" w:leftChars="200" w:hanging="240" w:hangingChars="100"/>
        <w:jc w:val="both"/>
        <w:rPr>
          <w:rFonts w:hint="default"/>
          <w:color w:val="000000" w:themeColor="text1"/>
        </w:rPr>
      </w:pPr>
      <w:r>
        <w:rPr>
          <w:rFonts w:hint="eastAsia"/>
        </w:rPr>
        <w:t>○　稲ふれあい</w:t>
      </w:r>
      <w:r>
        <w:rPr>
          <w:rFonts w:hint="eastAsia"/>
          <w:color w:val="000000" w:themeColor="text1"/>
        </w:rPr>
        <w:t>センターは、高齢者の健康づくりや生きがいづくり、子育て中の若い世代のサポート、地域住民の活動支援など、「高齢者から子どもまで世代を超えたふれあいの場」として、平成</w:t>
      </w:r>
      <w:r>
        <w:rPr>
          <w:rFonts w:hint="default"/>
          <w:color w:val="000000" w:themeColor="text1"/>
        </w:rPr>
        <w:t>25</w:t>
      </w:r>
      <w:r>
        <w:rPr>
          <w:rFonts w:hint="default"/>
          <w:color w:val="000000" w:themeColor="text1"/>
        </w:rPr>
        <w:t>年</w:t>
      </w:r>
      <w:r>
        <w:rPr>
          <w:rFonts w:hint="eastAsia"/>
          <w:color w:val="000000" w:themeColor="text1"/>
        </w:rPr>
        <w:t>(</w:t>
      </w:r>
      <w:r>
        <w:rPr>
          <w:rFonts w:hint="default"/>
          <w:color w:val="000000" w:themeColor="text1"/>
        </w:rPr>
        <w:t>2013</w:t>
      </w:r>
      <w:r>
        <w:rPr>
          <w:rFonts w:hint="default"/>
          <w:color w:val="000000" w:themeColor="text1"/>
        </w:rPr>
        <w:t>年</w:t>
      </w:r>
      <w:r>
        <w:rPr>
          <w:rFonts w:hint="eastAsia"/>
          <w:color w:val="000000" w:themeColor="text1"/>
        </w:rPr>
        <w:t>)</w:t>
      </w:r>
      <w:r>
        <w:rPr>
          <w:rFonts w:hint="default"/>
          <w:color w:val="000000" w:themeColor="text1"/>
        </w:rPr>
        <w:t>４月に開設し</w:t>
      </w:r>
      <w:r>
        <w:rPr>
          <w:rFonts w:hint="eastAsia"/>
          <w:color w:val="000000" w:themeColor="text1"/>
        </w:rPr>
        <w:t>、指定管理者により運営しています</w:t>
      </w:r>
      <w:r>
        <w:rPr>
          <w:rFonts w:hint="default"/>
          <w:color w:val="000000" w:themeColor="text1"/>
        </w:rPr>
        <w:t>。</w:t>
      </w:r>
      <w:r>
        <w:rPr>
          <w:rFonts w:hint="eastAsia"/>
          <w:color w:val="000000" w:themeColor="text1"/>
        </w:rPr>
        <w:t>市内で最大の介護予防拠点施設として、より多くの高齢者が継続的に通い、文化・スポーツ・趣味などのサークル活動や介護予防事業に参加するよう、取組を強化します。</w:t>
      </w:r>
    </w:p>
    <w:p>
      <w:pPr>
        <w:pStyle w:val="0"/>
        <w:ind w:left="720" w:leftChars="200" w:hanging="240" w:hangingChars="100"/>
        <w:jc w:val="both"/>
        <w:rPr>
          <w:rFonts w:hint="default"/>
          <w:color w:val="000000" w:themeColor="text1"/>
        </w:rPr>
      </w:pPr>
      <w:r>
        <w:rPr>
          <w:rFonts w:hint="eastAsia"/>
          <w:color w:val="000000" w:themeColor="text1"/>
        </w:rPr>
        <w:t>○　具体的には、見学・体験会を開催するとともに、運動トレーナーによる体操指導やからだの元気度測定会などを定期的に開催し、新たな利用を促す事業メニューの充実を進めます。</w:t>
      </w:r>
    </w:p>
    <w:p>
      <w:pPr>
        <w:pStyle w:val="0"/>
        <w:ind w:left="720" w:leftChars="200" w:hanging="240" w:hangingChars="100"/>
        <w:jc w:val="both"/>
        <w:rPr>
          <w:rFonts w:hint="default"/>
          <w:color w:val="000000" w:themeColor="text1"/>
        </w:rPr>
      </w:pPr>
      <w:r>
        <w:rPr>
          <w:rFonts w:hint="eastAsia"/>
          <w:color w:val="000000" w:themeColor="text1"/>
        </w:rPr>
        <w:t>○　平成</w:t>
      </w:r>
      <w:r>
        <w:rPr>
          <w:rFonts w:hint="eastAsia"/>
          <w:color w:val="000000" w:themeColor="text1"/>
        </w:rPr>
        <w:t>28</w:t>
      </w:r>
      <w:r>
        <w:rPr>
          <w:rFonts w:hint="eastAsia"/>
          <w:color w:val="000000" w:themeColor="text1"/>
        </w:rPr>
        <w:t>年度</w:t>
      </w:r>
      <w:r>
        <w:rPr>
          <w:rFonts w:hint="eastAsia"/>
          <w:color w:val="000000" w:themeColor="text1"/>
        </w:rPr>
        <w:t>(2016</w:t>
      </w:r>
      <w:r>
        <w:rPr>
          <w:rFonts w:hint="eastAsia"/>
          <w:color w:val="000000" w:themeColor="text1"/>
        </w:rPr>
        <w:t>年度</w:t>
      </w:r>
      <w:r>
        <w:rPr>
          <w:rFonts w:hint="eastAsia"/>
          <w:color w:val="000000" w:themeColor="text1"/>
        </w:rPr>
        <w:t>)</w:t>
      </w:r>
      <w:r>
        <w:rPr>
          <w:rFonts w:hint="eastAsia"/>
          <w:color w:val="000000" w:themeColor="text1"/>
        </w:rPr>
        <w:t>には、健康増進室（トレーニングルーム）にパワープレート（三次元振動加速度トレーニングマシン）を２台設置しました。定期的に新規利用者講習会を開催し、運動の苦手な人がパワープレートを活用して、手軽に体幹機能や下肢筋力向上に取り組めるよう、取組を進めます。</w:t>
      </w:r>
    </w:p>
    <w:p>
      <w:pPr>
        <w:pStyle w:val="0"/>
        <w:ind w:left="720" w:leftChars="200" w:hanging="240" w:hangingChars="100"/>
        <w:jc w:val="both"/>
        <w:rPr>
          <w:rFonts w:hint="default"/>
          <w:color w:val="000000" w:themeColor="text1"/>
        </w:rPr>
      </w:pPr>
      <w:r>
        <w:rPr>
          <w:rFonts w:hint="eastAsia"/>
          <w:color w:val="000000" w:themeColor="text1"/>
        </w:rPr>
        <w:t>○　平成</w:t>
      </w:r>
      <w:r>
        <w:rPr>
          <w:rFonts w:hint="eastAsia"/>
          <w:color w:val="000000" w:themeColor="text1"/>
        </w:rPr>
        <w:t>28</w:t>
      </w:r>
      <w:r>
        <w:rPr>
          <w:rFonts w:hint="eastAsia"/>
          <w:color w:val="000000" w:themeColor="text1"/>
        </w:rPr>
        <w:t>年度</w:t>
      </w:r>
      <w:r>
        <w:rPr>
          <w:rFonts w:hint="eastAsia"/>
          <w:color w:val="000000" w:themeColor="text1"/>
        </w:rPr>
        <w:t>(2016</w:t>
      </w:r>
      <w:r>
        <w:rPr>
          <w:rFonts w:hint="eastAsia"/>
          <w:color w:val="000000" w:themeColor="text1"/>
        </w:rPr>
        <w:t>年度</w:t>
      </w:r>
      <w:r>
        <w:rPr>
          <w:rFonts w:hint="eastAsia"/>
          <w:color w:val="000000" w:themeColor="text1"/>
        </w:rPr>
        <w:t>)</w:t>
      </w:r>
      <w:r>
        <w:rPr>
          <w:rFonts w:hint="eastAsia"/>
          <w:color w:val="000000" w:themeColor="text1"/>
        </w:rPr>
        <w:t>には、くつろぎや交流、各種教室に活用できる空間を整備しました。引き続き、介護予防・認知症予防活動や仲間づくりの場として活用を進めます。</w:t>
      </w:r>
    </w:p>
    <w:p>
      <w:pPr>
        <w:pStyle w:val="0"/>
        <w:ind w:left="720" w:leftChars="200" w:hanging="240" w:hangingChars="100"/>
        <w:jc w:val="both"/>
        <w:rPr>
          <w:rFonts w:hint="default"/>
          <w:color w:val="000000" w:themeColor="text1"/>
        </w:rPr>
      </w:pPr>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②老人いこいの家</w:t>
      </w:r>
    </w:p>
    <w:p>
      <w:pPr>
        <w:pStyle w:val="0"/>
        <w:ind w:left="720" w:leftChars="200" w:hanging="240" w:hangingChars="100"/>
        <w:jc w:val="both"/>
        <w:rPr>
          <w:rFonts w:hint="default"/>
        </w:rPr>
      </w:pPr>
      <w:r>
        <w:rPr>
          <w:rFonts w:hint="eastAsia"/>
        </w:rPr>
        <w:t>○　老人いこいの家は、地域の高齢者の社会的・文化的活動、心身の健康・教養の向上、つどいと交流の場として親しまれています。</w:t>
      </w:r>
      <w:r>
        <w:rPr>
          <w:rFonts w:hint="default"/>
        </w:rPr>
        <w:t>指定管理</w:t>
      </w:r>
      <w:r>
        <w:rPr>
          <w:rFonts w:hint="default"/>
          <w:color w:val="000000" w:themeColor="text1"/>
        </w:rPr>
        <w:t>者</w:t>
      </w:r>
      <w:r>
        <w:rPr>
          <w:rFonts w:hint="eastAsia"/>
          <w:color w:val="000000" w:themeColor="text1"/>
        </w:rPr>
        <w:t>の</w:t>
      </w:r>
      <w:r>
        <w:rPr>
          <w:rFonts w:hint="default"/>
          <w:color w:val="000000" w:themeColor="text1"/>
        </w:rPr>
        <w:t>管理運営</w:t>
      </w:r>
      <w:r>
        <w:rPr>
          <w:rFonts w:hint="eastAsia"/>
          <w:color w:val="000000" w:themeColor="text1"/>
        </w:rPr>
        <w:t>のもと</w:t>
      </w:r>
      <w:r>
        <w:rPr>
          <w:rFonts w:hint="default"/>
          <w:color w:val="000000" w:themeColor="text1"/>
        </w:rPr>
        <w:t>、</w:t>
      </w:r>
      <w:r>
        <w:rPr>
          <w:rFonts w:hint="default"/>
        </w:rPr>
        <w:t>地域に密着した事業展開、施設の効果的</w:t>
      </w:r>
      <w:r>
        <w:rPr>
          <w:rFonts w:hint="eastAsia"/>
        </w:rPr>
        <w:t>・</w:t>
      </w:r>
      <w:r>
        <w:rPr>
          <w:rFonts w:hint="default"/>
        </w:rPr>
        <w:t>効率的な活用を</w:t>
      </w:r>
      <w:r>
        <w:rPr>
          <w:rFonts w:hint="eastAsia"/>
        </w:rPr>
        <w:t>進め</w:t>
      </w:r>
      <w:r>
        <w:rPr>
          <w:rFonts w:hint="default"/>
        </w:rPr>
        <w:t>ます。</w:t>
      </w:r>
    </w:p>
    <w:p>
      <w:pPr>
        <w:pStyle w:val="0"/>
        <w:ind w:left="720" w:leftChars="200" w:hanging="240" w:hangingChars="100"/>
        <w:jc w:val="both"/>
        <w:rPr>
          <w:rFonts w:hint="default"/>
        </w:rPr>
      </w:pPr>
      <w:r>
        <w:rPr>
          <w:rFonts w:hint="eastAsia"/>
        </w:rPr>
        <w:t>○　高齢者</w:t>
      </w:r>
      <w:r>
        <w:rPr>
          <w:rFonts w:hint="eastAsia"/>
          <w:color w:val="000000" w:themeColor="text1"/>
        </w:rPr>
        <w:t>のつどい</w:t>
      </w:r>
      <w:r>
        <w:rPr>
          <w:rFonts w:hint="eastAsia"/>
        </w:rPr>
        <w:t>の場としての役割に加え、多世代の交流や地域全体のつながりを深める活動の場としても活用を図ります。</w:t>
      </w:r>
    </w:p>
    <w:p>
      <w:pPr>
        <w:pStyle w:val="0"/>
        <w:jc w:val="both"/>
        <w:rPr>
          <w:rFonts w:hint="default"/>
        </w:rPr>
      </w:pPr>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③街かどデイハウス</w:t>
      </w:r>
    </w:p>
    <w:p>
      <w:pPr>
        <w:pStyle w:val="0"/>
        <w:ind w:left="720" w:leftChars="200" w:hanging="240" w:hangingChars="100"/>
        <w:jc w:val="both"/>
        <w:rPr>
          <w:rFonts w:hint="default"/>
          <w:color w:val="000000" w:themeColor="text1"/>
        </w:rPr>
      </w:pPr>
      <w:r>
        <w:rPr>
          <w:rFonts w:hint="eastAsia"/>
        </w:rPr>
        <w:t>○　街かどデイハウスは、高齢者の介護予防や閉じこもり防止を目的とし、自立生活を支えるため、住民参加型の非営利団体等が運営する高齢者の交流・活動の場として、</w:t>
      </w:r>
      <w:r>
        <w:rPr>
          <w:rFonts w:hint="default"/>
          <w:color w:val="000000" w:themeColor="text1"/>
        </w:rPr>
        <w:t>市内６か所</w:t>
      </w:r>
      <w:r>
        <w:rPr>
          <w:rFonts w:hint="eastAsia"/>
          <w:color w:val="000000" w:themeColor="text1"/>
        </w:rPr>
        <w:t>で運営</w:t>
      </w:r>
      <w:r>
        <w:rPr>
          <w:rFonts w:hint="default"/>
          <w:color w:val="000000" w:themeColor="text1"/>
        </w:rPr>
        <w:t>されています。</w:t>
      </w:r>
    </w:p>
    <w:p>
      <w:pPr>
        <w:pStyle w:val="0"/>
        <w:ind w:left="720" w:leftChars="200" w:hanging="240" w:hangingChars="100"/>
        <w:jc w:val="both"/>
        <w:rPr>
          <w:rFonts w:hint="default" w:ascii="ＭＳ ゴシック" w:hAnsi="ＭＳ ゴシック" w:eastAsia="ＭＳ ゴシック"/>
          <w:color w:val="000000" w:themeColor="text1"/>
        </w:rPr>
      </w:pPr>
      <w:r>
        <w:rPr>
          <w:rFonts w:hint="eastAsia"/>
          <w:color w:val="000000" w:themeColor="text1"/>
        </w:rPr>
        <w:t>○　身近な地域の通いの場として周知を進めるとともに、介護予防・認知症予防の場として活用し、</w:t>
      </w:r>
      <w:r>
        <w:rPr>
          <w:rFonts w:hint="default"/>
          <w:color w:val="000000" w:themeColor="text1"/>
        </w:rPr>
        <w:t>事業運営</w:t>
      </w:r>
      <w:r>
        <w:rPr>
          <w:rFonts w:hint="eastAsia"/>
          <w:color w:val="000000" w:themeColor="text1"/>
        </w:rPr>
        <w:t>補助等の</w:t>
      </w:r>
      <w:r>
        <w:rPr>
          <w:rFonts w:hint="default"/>
          <w:color w:val="000000" w:themeColor="text1"/>
        </w:rPr>
        <w:t>支援を行</w:t>
      </w:r>
      <w:r>
        <w:rPr>
          <w:rFonts w:hint="eastAsia"/>
          <w:color w:val="000000" w:themeColor="text1"/>
        </w:rPr>
        <w:t>い</w:t>
      </w:r>
      <w:r>
        <w:rPr>
          <w:rFonts w:hint="default"/>
          <w:color w:val="000000" w:themeColor="text1"/>
        </w:rPr>
        <w:t>ます。</w:t>
      </w:r>
    </w:p>
    <w:p>
      <w:pPr>
        <w:pStyle w:val="0"/>
        <w:ind w:left="720" w:leftChars="200" w:hanging="240" w:hangingChars="100"/>
        <w:jc w:val="both"/>
        <w:rPr>
          <w:rFonts w:hint="default" w:ascii="ＭＳ ゴシック" w:hAnsi="ＭＳ ゴシック" w:eastAsia="ＭＳ ゴシック"/>
          <w:color w:val="000000" w:themeColor="text1"/>
        </w:rPr>
      </w:pPr>
    </w:p>
    <w:p>
      <w:pPr>
        <w:pStyle w:val="0"/>
        <w:ind w:firstLine="240" w:firstLineChars="100"/>
        <w:jc w:val="both"/>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④多様な場所の活用による交流・活動の支援</w:t>
      </w:r>
    </w:p>
    <w:p>
      <w:pPr>
        <w:pStyle w:val="0"/>
        <w:ind w:left="720" w:leftChars="200" w:hanging="240" w:hangingChars="100"/>
        <w:jc w:val="both"/>
        <w:rPr>
          <w:rFonts w:hint="default"/>
          <w:color w:val="000000" w:themeColor="text1"/>
        </w:rPr>
      </w:pPr>
      <w:r>
        <w:rPr>
          <w:rFonts w:hint="eastAsia"/>
          <w:color w:val="000000" w:themeColor="text1"/>
        </w:rPr>
        <w:t>○　高齢者の交流・活動拠点については、稲ふれあいセンターなどの高齢者向け施設に限らず、生涯学習センター・スポーツ施設・図書館・コミュニティセンターなど多様な場を活用し、高齢者が気軽に通い、ゆっくり安心して過ごせる場として環境面での工夫や配慮を行います。</w:t>
      </w:r>
    </w:p>
    <w:p>
      <w:pPr>
        <w:pStyle w:val="0"/>
        <w:jc w:val="both"/>
        <w:rPr>
          <w:rFonts w:hint="default"/>
          <w:color w:val="000000" w:themeColor="text1"/>
        </w:rPr>
      </w:pPr>
    </w:p>
    <w:p>
      <w:pPr>
        <w:pStyle w:val="0"/>
        <w:ind w:firstLine="240" w:firstLineChars="100"/>
        <w:jc w:val="both"/>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⑤コミュニティカフェの活動支援</w:t>
      </w:r>
    </w:p>
    <w:p>
      <w:pPr>
        <w:pStyle w:val="0"/>
        <w:ind w:left="720" w:leftChars="200" w:hanging="240" w:hangingChars="100"/>
        <w:jc w:val="both"/>
        <w:rPr>
          <w:rFonts w:hint="default"/>
          <w:color w:val="000000" w:themeColor="text1"/>
        </w:rPr>
      </w:pPr>
      <w:r>
        <w:rPr>
          <w:rFonts w:hint="eastAsia"/>
          <w:color w:val="000000" w:themeColor="text1"/>
        </w:rPr>
        <w:t>○　地域住民が居場所として気軽に集まる場を提供するコミュニティカフェの活動を支援します。</w:t>
      </w:r>
    </w:p>
    <w:p>
      <w:pPr>
        <w:pStyle w:val="0"/>
        <w:ind w:left="720" w:leftChars="200" w:hanging="240" w:hangingChars="100"/>
        <w:jc w:val="both"/>
        <w:rPr>
          <w:rFonts w:hint="default"/>
          <w:color w:val="000000" w:themeColor="text1"/>
        </w:rPr>
      </w:pPr>
      <w:r>
        <w:rPr>
          <w:rFonts w:hint="eastAsia"/>
          <w:color w:val="000000" w:themeColor="text1"/>
        </w:rPr>
        <w:t>○　団地やマンションの集会所、地域の貸しスペースの活用などについて、地域住民と連携しながら、コミュニティカフェの開催場所の増加に努めます。</w:t>
      </w:r>
    </w:p>
    <w:p>
      <w:pPr>
        <w:pStyle w:val="5"/>
        <w:ind w:left="0" w:leftChars="0" w:firstLine="240" w:firstLineChars="100"/>
        <w:jc w:val="both"/>
        <w:rPr>
          <w:rFonts w:hint="default" w:ascii="ＭＳ ゴシック" w:hAnsi="ＭＳ ゴシック" w:eastAsia="ＭＳ ゴシック"/>
        </w:rPr>
      </w:pPr>
      <w:bookmarkStart w:id="92" w:name="_Toc59007808"/>
      <w:r>
        <w:rPr>
          <w:rFonts w:hint="eastAsia" w:ascii="ＭＳ ゴシック" w:hAnsi="ＭＳ ゴシック" w:eastAsia="ＭＳ ゴシック"/>
        </w:rPr>
        <w:t>エ）高齢者の就労支援</w:t>
      </w:r>
      <w:bookmarkEnd w:id="92"/>
    </w:p>
    <w:p>
      <w:pPr>
        <w:pStyle w:val="0"/>
        <w:ind w:left="480" w:leftChars="100" w:hanging="240" w:hangingChars="100"/>
        <w:jc w:val="both"/>
        <w:rPr>
          <w:rFonts w:hint="default"/>
        </w:rPr>
      </w:pPr>
      <w:r>
        <w:rPr>
          <w:rFonts w:hint="eastAsia"/>
        </w:rPr>
        <w:t>○　「就労」は、高齢者自身の健康維持や介護予防、自己実現につながる重要な機会です。本市では</w:t>
      </w:r>
      <w:r>
        <w:rPr>
          <w:rFonts w:hint="eastAsia"/>
          <w:color w:val="000000" w:themeColor="text1"/>
        </w:rPr>
        <w:t>、高齢者の生きがいの充実と社会参加の促進の観点から、</w:t>
      </w:r>
      <w:r>
        <w:rPr>
          <w:rFonts w:hint="eastAsia"/>
        </w:rPr>
        <w:t>働く意欲のある高齢者に対する支援とともに、</w:t>
      </w:r>
      <w:r>
        <w:rPr>
          <w:rFonts w:hint="eastAsia"/>
          <w:color w:val="000000" w:themeColor="text1"/>
        </w:rPr>
        <w:t>高齢</w:t>
      </w:r>
      <w:r>
        <w:rPr>
          <w:rFonts w:hint="eastAsia"/>
        </w:rPr>
        <w:t>者の能力を生かした就業機会の確保をめざし、一般社団法人箕面市シルバー人材センターへの適切な支援に引き続き努めます。</w:t>
      </w:r>
    </w:p>
    <w:p>
      <w:pPr>
        <w:pStyle w:val="0"/>
        <w:ind w:left="480" w:leftChars="100" w:hanging="240" w:hangingChars="100"/>
        <w:jc w:val="both"/>
        <w:rPr>
          <w:rFonts w:hint="default"/>
        </w:rPr>
      </w:pPr>
      <w:r>
        <w:rPr>
          <w:rFonts w:hint="eastAsia"/>
        </w:rPr>
        <w:t>○　具体的には、シルバー人材センターによる、会員拡大、就業開拓、子育て支援事業や軽度生活支援事業などの市場開拓等、高齢者の豊富な経験と知識を生かした就業機会の確保を支援します。</w:t>
      </w:r>
    </w:p>
    <w:p>
      <w:pPr>
        <w:pStyle w:val="0"/>
        <w:ind w:left="480" w:leftChars="100" w:hanging="240" w:hangingChars="10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93" w:name="_Toc59007809"/>
      <w:r>
        <w:rPr>
          <w:rFonts w:hint="eastAsia" w:ascii="ＭＳ ゴシック" w:hAnsi="ＭＳ ゴシック" w:eastAsia="ＭＳ ゴシック"/>
        </w:rPr>
        <w:t>オ）ＮＰＯ・ボランティア活動の支援</w:t>
      </w:r>
      <w:bookmarkEnd w:id="93"/>
    </w:p>
    <w:p>
      <w:pPr>
        <w:pStyle w:val="0"/>
        <w:ind w:left="480" w:leftChars="100" w:hanging="240" w:hangingChars="100"/>
        <w:jc w:val="both"/>
        <w:rPr>
          <w:rFonts w:hint="default"/>
        </w:rPr>
      </w:pPr>
      <w:r>
        <w:rPr>
          <w:rFonts w:hint="eastAsia"/>
        </w:rPr>
        <w:t>○　本市では、「みのお市民活動センター」を核に、ハード・ソフトの両面から市民活動の促進及びＮＰＯの支援を行うとともに、社会福祉協議会のボランティアセンターを通じてボランティア活動の支援を継続します。</w:t>
      </w:r>
    </w:p>
    <w:p>
      <w:pPr>
        <w:pStyle w:val="0"/>
        <w:ind w:left="480" w:leftChars="100" w:hanging="240" w:hangingChars="100"/>
        <w:jc w:val="both"/>
        <w:rPr>
          <w:rFonts w:hint="default"/>
        </w:rPr>
      </w:pPr>
      <w:r>
        <w:rPr>
          <w:rFonts w:hint="eastAsia"/>
        </w:rPr>
        <w:t>○　ボランティア等の自主的な活動に関心を持つ高齢者に対しては、適切に情報提供ができるよう関係機関のネットワークを強化し、地域活動を紹介する相談窓口の「シニア・ナビ」、シニア世代の学びを支援する「箕面シニア塾」、秀でた特技や資格のある人を登録する「人材データバンク」、介護予防活動</w:t>
      </w:r>
      <w:r>
        <w:rPr>
          <w:rFonts w:hint="eastAsia"/>
          <w:color w:val="000000" w:themeColor="text1"/>
        </w:rPr>
        <w:t>のリーダー養成講座等の活用に</w:t>
      </w:r>
      <w:r>
        <w:rPr>
          <w:rFonts w:hint="eastAsia"/>
        </w:rPr>
        <w:t>努め、より多くのかたが参加しやすい環境を整備します。</w:t>
      </w:r>
    </w:p>
    <w:p>
      <w:pPr>
        <w:pStyle w:val="0"/>
        <w:ind w:left="480" w:leftChars="100" w:hanging="240" w:hangingChars="100"/>
        <w:jc w:val="both"/>
        <w:rPr>
          <w:rFonts w:hint="default"/>
        </w:rPr>
      </w:pPr>
      <w:r>
        <w:rPr>
          <w:rFonts w:hint="eastAsia"/>
        </w:rPr>
        <w:t>○　ボランティア活動や就労的活動は、高齢者の生きがいづくり、社会参加の場として大きな役割が期待されています。高齢者が、サービスの受け手としてだけではなく、地域活動や生活支援の担い手として活躍することにより、いきいきとした毎日を送ることができるよう、こうした活動を通じた高齢者の社会参加を支援します。</w:t>
      </w:r>
    </w:p>
    <w:p>
      <w:pPr>
        <w:pStyle w:val="0"/>
        <w:ind w:left="240" w:leftChars="10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94" w:name="_Toc512263441"/>
      <w:bookmarkEnd w:id="94"/>
      <w:bookmarkStart w:id="95" w:name="_Toc59007810"/>
      <w:r>
        <w:rPr>
          <w:rFonts w:hint="eastAsia" w:ascii="ＭＳ ゴシック" w:hAnsi="ＭＳ ゴシック" w:eastAsia="ＭＳ ゴシック"/>
        </w:rPr>
        <w:t>カ）敬老施策の実施</w:t>
      </w:r>
      <w:bookmarkEnd w:id="95"/>
    </w:p>
    <w:p>
      <w:pPr>
        <w:pStyle w:val="0"/>
        <w:ind w:firstLine="240" w:firstLineChars="100"/>
        <w:jc w:val="both"/>
        <w:rPr>
          <w:rFonts w:hint="default" w:ascii="ＭＳ ゴシック" w:hAnsi="ＭＳ ゴシック" w:eastAsia="ＭＳ ゴシック"/>
        </w:rPr>
      </w:pPr>
      <w:bookmarkStart w:id="96" w:name="_Toc402170961"/>
      <w:bookmarkEnd w:id="96"/>
      <w:r>
        <w:rPr>
          <w:rFonts w:hint="eastAsia" w:ascii="ＭＳ ゴシック" w:hAnsi="ＭＳ ゴシック" w:eastAsia="ＭＳ ゴシック"/>
        </w:rPr>
        <w:t>①「敬老事業」への支援</w:t>
      </w:r>
    </w:p>
    <w:p>
      <w:pPr>
        <w:pStyle w:val="0"/>
        <w:ind w:left="720" w:leftChars="200" w:hanging="240" w:hangingChars="100"/>
        <w:jc w:val="both"/>
        <w:rPr>
          <w:rFonts w:hint="default"/>
          <w:color w:val="000000" w:themeColor="text1"/>
        </w:rPr>
      </w:pPr>
      <w:r>
        <w:rPr>
          <w:rFonts w:hint="eastAsia"/>
          <w:color w:val="000000" w:themeColor="text1"/>
        </w:rPr>
        <w:t>○　社会福祉協議会地区福祉会が実施する地区敬老事業について、高齢者が地域住民とつながり、ともに健康の維持・増進に向けて活力を高め、長寿を祝い喜び合う事業として支援します。</w:t>
      </w:r>
    </w:p>
    <w:p>
      <w:pPr>
        <w:pStyle w:val="0"/>
        <w:spacing w:line="340" w:lineRule="exact"/>
        <w:ind w:left="720" w:leftChars="200" w:hanging="240" w:hangingChars="100"/>
        <w:jc w:val="both"/>
        <w:rPr>
          <w:rFonts w:hint="default"/>
          <w:spacing w:val="-4"/>
        </w:rPr>
      </w:pPr>
      <w:r>
        <w:rPr>
          <w:rFonts w:hint="eastAsia"/>
        </w:rPr>
        <w:t>○　</w:t>
      </w:r>
      <w:r>
        <w:rPr>
          <w:rFonts w:hint="eastAsia"/>
          <w:spacing w:val="-4"/>
        </w:rPr>
        <w:t>地区福祉会を中心とした関係団体による、各地域に合った主体的な取組を尊重し、支援します。</w:t>
      </w:r>
    </w:p>
    <w:p>
      <w:pPr>
        <w:pStyle w:val="0"/>
        <w:spacing w:line="340" w:lineRule="exact"/>
        <w:jc w:val="both"/>
        <w:rPr>
          <w:rFonts w:hint="default"/>
        </w:rPr>
      </w:pPr>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②長寿祝金等の給付</w:t>
      </w:r>
    </w:p>
    <w:p>
      <w:pPr>
        <w:pStyle w:val="0"/>
        <w:ind w:left="480" w:leftChars="100" w:hanging="240" w:hangingChars="100"/>
        <w:jc w:val="both"/>
        <w:rPr>
          <w:rFonts w:hint="default"/>
          <w:color w:val="000000" w:themeColor="text1"/>
        </w:rPr>
      </w:pPr>
      <w:r>
        <w:rPr>
          <w:rFonts w:hint="eastAsia"/>
          <w:color w:val="000000" w:themeColor="text1"/>
        </w:rPr>
        <w:t>○　長寿祝金は、</w:t>
      </w:r>
      <w:r>
        <w:rPr>
          <w:rFonts w:hint="eastAsia"/>
          <w:color w:val="000000" w:themeColor="text1"/>
        </w:rPr>
        <w:t>88</w:t>
      </w:r>
      <w:r>
        <w:rPr>
          <w:rFonts w:hint="eastAsia"/>
          <w:color w:val="000000" w:themeColor="text1"/>
        </w:rPr>
        <w:t>歳（米寿）・</w:t>
      </w:r>
      <w:r>
        <w:rPr>
          <w:rFonts w:hint="eastAsia"/>
          <w:color w:val="000000" w:themeColor="text1"/>
        </w:rPr>
        <w:t>99</w:t>
      </w:r>
      <w:r>
        <w:rPr>
          <w:rFonts w:hint="eastAsia"/>
          <w:color w:val="000000" w:themeColor="text1"/>
        </w:rPr>
        <w:t>歳（白寿）・</w:t>
      </w:r>
      <w:r>
        <w:rPr>
          <w:rFonts w:hint="eastAsia"/>
          <w:color w:val="000000" w:themeColor="text1"/>
        </w:rPr>
        <w:t>100</w:t>
      </w:r>
      <w:r>
        <w:rPr>
          <w:rFonts w:hint="eastAsia"/>
          <w:color w:val="000000" w:themeColor="text1"/>
        </w:rPr>
        <w:t>歳以上の市内在住のかたを対象に、民生委員・児童委員が各高齢者宅を訪問し、ひとり暮らし高齢者や地域から孤立しがちな高齢者世帯等とのつながりづくりを進める機会として、引き続き実施します。</w:t>
      </w:r>
    </w:p>
    <w:p>
      <w:pPr>
        <w:pStyle w:val="0"/>
        <w:ind w:firstLine="240" w:firstLineChars="100"/>
        <w:jc w:val="both"/>
        <w:rPr>
          <w:rFonts w:hint="default" w:ascii="ＭＳ ゴシック" w:hAnsi="ＭＳ ゴシック" w:eastAsia="ＭＳ ゴシック"/>
          <w:color w:val="000000" w:themeColor="text1"/>
        </w:rPr>
      </w:pPr>
    </w:p>
    <w:p>
      <w:pPr>
        <w:pStyle w:val="0"/>
        <w:ind w:firstLine="240" w:firstLineChars="100"/>
        <w:jc w:val="both"/>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③箕面市元気はつらつ頑張る高齢者表彰</w:t>
      </w:r>
    </w:p>
    <w:p>
      <w:pPr>
        <w:pStyle w:val="0"/>
        <w:ind w:left="480" w:leftChars="100" w:hanging="240" w:hangingChars="100"/>
        <w:jc w:val="both"/>
        <w:rPr>
          <w:rFonts w:hint="default"/>
        </w:rPr>
      </w:pPr>
      <w:r>
        <w:rPr>
          <w:rFonts w:hint="eastAsia"/>
        </w:rPr>
        <w:t>○　</w:t>
      </w:r>
      <w:r>
        <w:rPr>
          <w:rFonts w:hint="eastAsia"/>
          <w:color w:val="000000" w:themeColor="text1"/>
        </w:rPr>
        <w:t>平成</w:t>
      </w:r>
      <w:r>
        <w:rPr>
          <w:rFonts w:hint="eastAsia"/>
          <w:color w:val="000000" w:themeColor="text1"/>
        </w:rPr>
        <w:t>21</w:t>
      </w:r>
      <w:r>
        <w:rPr>
          <w:rFonts w:hint="eastAsia"/>
          <w:color w:val="000000" w:themeColor="text1"/>
        </w:rPr>
        <w:t>年度</w:t>
      </w:r>
      <w:r>
        <w:rPr>
          <w:rFonts w:hint="eastAsia"/>
          <w:color w:val="000000" w:themeColor="text1"/>
        </w:rPr>
        <w:t>(2009</w:t>
      </w:r>
      <w:r>
        <w:rPr>
          <w:rFonts w:hint="eastAsia"/>
          <w:color w:val="000000" w:themeColor="text1"/>
        </w:rPr>
        <w:t>年度</w:t>
      </w:r>
      <w:r>
        <w:rPr>
          <w:rFonts w:hint="eastAsia"/>
          <w:color w:val="000000" w:themeColor="text1"/>
        </w:rPr>
        <w:t>)</w:t>
      </w:r>
      <w:r>
        <w:rPr>
          <w:rFonts w:hint="eastAsia"/>
          <w:color w:val="000000" w:themeColor="text1"/>
        </w:rPr>
        <w:t>に創設した「箕面市元気はつらつ頑張る高齢者表彰」は、</w:t>
      </w:r>
      <w:r>
        <w:rPr>
          <w:rFonts w:hint="eastAsia"/>
        </w:rPr>
        <w:t>高齢者の健康づくり・生きが</w:t>
      </w:r>
      <w:r>
        <w:rPr>
          <w:rFonts w:hint="eastAsia"/>
          <w:color w:val="000000" w:themeColor="text1"/>
        </w:rPr>
        <w:t>いづくり・仲間づくりを支援し、長寿を地域で祝福することを目的としており、引き続き、高齢者の地域功労や長寿の表彰を行います。</w:t>
      </w:r>
    </w:p>
    <w:p>
      <w:pPr>
        <w:rPr>
          <w:rFonts w:hint="default" w:ascii="メイリオ" w:hAnsi="メイリオ" w:eastAsia="メイリオ"/>
          <w:b w:val="1"/>
          <w:sz w:val="32"/>
          <w:u w:val="single" w:color="auto"/>
        </w:rPr>
        <w:sectPr>
          <w:pgSz w:w="11906" w:h="16838"/>
          <w:pgMar w:top="1440" w:right="1077" w:bottom="1077" w:left="1077" w:header="851" w:footer="454" w:gutter="0"/>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97" w:name="_Toc59007811"/>
      <w:r>
        <w:rPr>
          <w:rFonts w:hint="eastAsia" w:ascii="メイリオ" w:hAnsi="メイリオ" w:eastAsia="メイリオ"/>
          <w:b w:val="1"/>
          <w:sz w:val="32"/>
          <w:u w:val="single" w:color="auto"/>
        </w:rPr>
        <w:t>２．地域包括ケアシステムの推進</w:t>
      </w:r>
      <w:bookmarkEnd w:id="97"/>
      <w:r>
        <w:rPr>
          <w:rFonts w:hint="eastAsia" w:ascii="メイリオ" w:hAnsi="メイリオ" w:eastAsia="メイリオ"/>
          <w:b w:val="1"/>
          <w:sz w:val="32"/>
          <w:u w:val="single" w:color="auto"/>
        </w:rPr>
        <w:t>　　　　　　　　　　　　　　　　　　　</w:t>
      </w:r>
    </w:p>
    <w:p>
      <w:pPr>
        <w:pStyle w:val="0"/>
        <w:ind w:left="240" w:hanging="240" w:hangingChars="100"/>
        <w:jc w:val="both"/>
        <w:rPr>
          <w:rFonts w:hint="default"/>
        </w:rPr>
      </w:pPr>
      <w:bookmarkStart w:id="98" w:name="_Toc512263450"/>
      <w:bookmarkEnd w:id="98"/>
      <w:r>
        <w:rPr>
          <w:rFonts w:hint="eastAsia"/>
        </w:rPr>
        <w:t>○　地域包括ケアシステムとは、「ニーズに応じた住宅が提供されることを基本とした上で、生活上の安全・安心・健康を確保するために、医療や介護のみならず、福祉サービスを含めた様々な生活支援サービスが日常生活の場（日常生活圏域）で適切に提供できるような地域での体制」と定義されて</w:t>
      </w:r>
      <w:r>
        <w:rPr>
          <w:rFonts w:hint="eastAsia"/>
          <w:color w:val="000000" w:themeColor="text1"/>
        </w:rPr>
        <w:t>います。国は、その構成要素として、「住まい」、「介護予防・生活支援」、「医療・看護」、「介護・リハビリテーション」、「保健・福祉」の５つを示しています。</w:t>
      </w:r>
    </w:p>
    <w:p>
      <w:pPr>
        <w:pStyle w:val="0"/>
        <w:ind w:left="240" w:hanging="240" w:hangingChars="100"/>
        <w:jc w:val="both"/>
        <w:rPr>
          <w:rFonts w:hint="default"/>
          <w:color w:val="000000" w:themeColor="text1"/>
        </w:rPr>
      </w:pPr>
      <w:r>
        <w:rPr>
          <w:rFonts w:hint="eastAsia"/>
          <w:color w:val="000000" w:themeColor="text1"/>
        </w:rPr>
        <w:t>○　５つの構成要素は、実際にはバラバラに提供されるのではなく、それぞれの役割に基づいて互いに関係・連携しながら高齢者の在宅生活を支えるものです。そのため、地域包括ケアシステムは、地域に断片化している資源（介護保険サ－ビス、医療保険サービス、ボランティア活動、セルフケアの取組等）について、それぞれの地域がもつ「自助」、「互助」、「共助」、「公助」の役割分担をふまえながら、有機的に連動して提供する体制として構築する必要があります。</w:t>
      </w:r>
    </w:p>
    <w:p>
      <w:pPr>
        <w:pStyle w:val="0"/>
        <w:ind w:left="240" w:hanging="240" w:hangingChars="100"/>
        <w:jc w:val="both"/>
        <w:rPr>
          <w:rFonts w:hint="default"/>
          <w:color w:val="000000" w:themeColor="text1"/>
        </w:rPr>
      </w:pPr>
      <w:r>
        <w:rPr>
          <w:rFonts w:hint="eastAsia"/>
          <w:color w:val="000000" w:themeColor="text1"/>
        </w:rPr>
        <w:t>○　地域包括ケアシステムを支える主体としては、本人（高齢者）、家族（介護者）、地域住民、行政、医療機関、介護事業者、民間企業、ＮＰＯ、地域の団体などがあります。地域包括ケアシステムにおいて、高齢者は介護サービスの利用者である前に、疾病予防や介護予防に努め、自分の生活を自分で支える「自助」の主体である一方、高齢者が新たに生活支援サービスなどの担い手として「互助」の主体となることが期待されています。市は、地域包括ケアシステム構築において中心的な役割を果たす立場にあり、法律にもその責務が明記されています。介護保険の「保険者」として保険者機能を発揮すると同時に、介護保険では対応できない部分について、インフォーマルサービス</w:t>
      </w:r>
      <w:r>
        <w:rPr>
          <w:rFonts w:hint="eastAsia"/>
          <w:color w:val="000000" w:themeColor="text1"/>
          <w:vertAlign w:val="superscript"/>
        </w:rPr>
        <w:t>※</w:t>
      </w:r>
      <w:r>
        <w:rPr>
          <w:rStyle w:val="42"/>
          <w:rFonts w:hint="eastAsia"/>
          <w:color w:val="000000" w:themeColor="text1"/>
        </w:rPr>
        <w:footnoteReference w:id="13"/>
      </w:r>
      <w:r>
        <w:rPr>
          <w:rFonts w:hint="eastAsia"/>
          <w:color w:val="000000" w:themeColor="text1"/>
        </w:rPr>
        <w:t>などの生活支援サービスの基盤整備と、利用するサービスのコーディネート機能を整備し、自助や互助による地域での日常生活の質を整えるための様々な施策や取組によって、日常生活上の課題の解決を図っていくことが重要であるといえます。</w:t>
      </w:r>
    </w:p>
    <w:p>
      <w:pPr>
        <w:pStyle w:val="0"/>
        <w:ind w:left="240" w:hanging="240" w:hangingChars="100"/>
        <w:jc w:val="both"/>
        <w:rPr>
          <w:rFonts w:hint="default"/>
        </w:rPr>
      </w:pPr>
      <w:r>
        <w:rPr>
          <w:rFonts w:hint="eastAsia"/>
        </w:rPr>
        <w:t>○　本市では、国の示す５つの構成要素を「生活支援」、「予防」、「医療」、「介護」、「住まい」の５本柱とし、地域の資源と４つの助「自助」、「互助」、「共助」、「公助」を整理した地域包括ケアシステムの全体像を図表</w:t>
      </w:r>
      <w:r>
        <w:rPr>
          <w:rFonts w:hint="eastAsia"/>
        </w:rPr>
        <w:t>85</w:t>
      </w:r>
      <w:r>
        <w:rPr>
          <w:rFonts w:hint="eastAsia"/>
        </w:rPr>
        <w:t>に示しています。</w:t>
      </w:r>
    </w:p>
    <w:p>
      <w:pPr>
        <w:pStyle w:val="0"/>
        <w:ind w:left="240" w:hanging="240" w:hangingChars="100"/>
        <w:jc w:val="both"/>
        <w:rPr>
          <w:rFonts w:hint="default"/>
        </w:rPr>
      </w:pPr>
    </w:p>
    <w:p>
      <w:pPr>
        <w:pStyle w:val="0"/>
        <w:ind w:left="240" w:hanging="240" w:hangingChars="100"/>
        <w:jc w:val="both"/>
        <w:rPr>
          <w:rFonts w:hint="default"/>
          <w:color w:val="000000" w:themeColor="text1"/>
        </w:rPr>
      </w:pPr>
    </w:p>
    <w:p>
      <w:pPr>
        <w:rPr>
          <w:rFonts w:hint="default"/>
        </w:rPr>
        <w:sectPr>
          <w:pgSz w:w="11906" w:h="16838"/>
          <w:pgMar w:top="1440" w:right="1080" w:bottom="1440" w:left="1080" w:header="851" w:footer="454" w:gutter="0"/>
          <w:cols w:space="720"/>
          <w:textDirection w:val="lrTb"/>
          <w:docGrid w:type="lines" w:linePitch="360"/>
        </w:sectPr>
      </w:pPr>
    </w:p>
    <w:p>
      <w:pPr>
        <w:pStyle w:val="0"/>
        <w:ind w:left="811" w:hanging="811"/>
        <w:jc w:val="center"/>
        <w:rPr>
          <w:rFonts w:hint="default"/>
          <w:color w:val="FF0000"/>
          <w:sz w:val="21"/>
        </w:rPr>
      </w:pPr>
      <w:r>
        <w:rPr>
          <w:rFonts w:hint="eastAsia"/>
        </w:rPr>
        <mc:AlternateContent>
          <mc:Choice Requires="wps">
            <w:drawing>
              <wp:anchor distT="0" distB="0" distL="114300" distR="114300" simplePos="0" relativeHeight="251" behindDoc="0" locked="1" layoutInCell="1" hidden="0" allowOverlap="1">
                <wp:simplePos x="0" y="0"/>
                <wp:positionH relativeFrom="column">
                  <wp:posOffset>-525780</wp:posOffset>
                </wp:positionH>
                <wp:positionV relativeFrom="paragraph">
                  <wp:posOffset>2989580</wp:posOffset>
                </wp:positionV>
                <wp:extent cx="528320" cy="291465"/>
                <wp:effectExtent l="0" t="0" r="635" b="635"/>
                <wp:wrapNone/>
                <wp:docPr id="1232" name="四角形 33"/>
                <a:graphic xmlns:a="http://schemas.openxmlformats.org/drawingml/2006/main">
                  <a:graphicData uri="http://schemas.microsoft.com/office/word/2010/wordprocessingShape">
                    <wps:wsp>
                      <wps:cNvPr id="1232" name="四角形 33"/>
                      <wps:cNvSpPr/>
                      <wps:spPr>
                        <a:xfrm>
                          <a:off x="0" y="0"/>
                          <a:ext cx="528320" cy="291465"/>
                        </a:xfrm>
                        <a:prstGeom prst="rect">
                          <a:avLst/>
                        </a:prstGeom>
                        <a:noFill/>
                        <a:ln w="3175"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6"/>
                              <w:spacing w:before="0" w:beforeLines="0" w:beforeAutospacing="0" w:after="0" w:afterLines="0" w:afterAutospacing="0"/>
                              <w:jc w:val="center"/>
                              <w:rPr>
                                <w:rFonts w:hint="default" w:ascii="ＭＳ ゴシック" w:hAnsi="ＭＳ ゴシック" w:eastAsia="ＭＳ ゴシック"/>
                                <w:sz w:val="12"/>
                              </w:rPr>
                            </w:pPr>
                            <w:r>
                              <w:rPr>
                                <w:rFonts w:hint="eastAsia" w:ascii="ＭＳ ゴシック" w:hAnsi="ＭＳ ゴシック" w:eastAsia="ＭＳ ゴシック"/>
                                <w:color w:val="000000" w:themeColor="text1"/>
                                <w:sz w:val="18"/>
                              </w:rPr>
                              <w:t>65</w:t>
                            </w:r>
                          </w:p>
                        </w:txbxContent>
                      </wps:txbx>
                      <wps:bodyPr vertOverflow="clip" horzOverflow="clip"/>
                    </wps:wsp>
                  </a:graphicData>
                </a:graphic>
              </wp:anchor>
            </w:drawing>
          </mc:Choice>
          <mc:Fallback>
            <w:pict>
              <v:rect id="四角形 33" style="mso-wrap-distance-right:9pt;mso-wrap-distance-bottom:0pt;margin-top:235.4pt;mso-position-vertical-relative:text;mso-position-horizontal-relative:text;position:absolute;height:22.95pt;mso-wrap-distance-top:0pt;width:41.6pt;mso-wrap-distance-left:9pt;margin-left:-41.4pt;z-index:251;" o:spid="_x0000_s1232" o:allowincell="t" o:allowoverlap="t" filled="f" stroked="f" strokecolor="#32528f" strokeweight="0.25pt" o:spt="1">
                <v:fill/>
                <v:stroke linestyle="single" miterlimit="8" endcap="flat" dashstyle="solid"/>
                <v:textbox style="layout-flow:horizontal;">
                  <w:txbxContent>
                    <w:p>
                      <w:pPr>
                        <w:pStyle w:val="46"/>
                        <w:spacing w:before="0" w:beforeLines="0" w:beforeAutospacing="0" w:after="0" w:afterLines="0" w:afterAutospacing="0"/>
                        <w:jc w:val="center"/>
                        <w:rPr>
                          <w:rFonts w:hint="default" w:ascii="ＭＳ ゴシック" w:hAnsi="ＭＳ ゴシック" w:eastAsia="ＭＳ ゴシック"/>
                          <w:sz w:val="12"/>
                        </w:rPr>
                      </w:pPr>
                      <w:r>
                        <w:rPr>
                          <w:rFonts w:hint="eastAsia" w:ascii="ＭＳ ゴシック" w:hAnsi="ＭＳ ゴシック" w:eastAsia="ＭＳ ゴシック"/>
                          <w:color w:val="000000" w:themeColor="text1"/>
                          <w:sz w:val="18"/>
                        </w:rPr>
                        <w:t>65</w:t>
                      </w:r>
                    </w:p>
                  </w:txbxContent>
                </v:textbox>
                <v:imagedata o:title=""/>
                <w10:wrap type="none" anchorx="text" anchory="text"/>
                <w10:anchorlock/>
              </v:rect>
            </w:pict>
          </mc:Fallback>
        </mc:AlternateContent>
      </w:r>
      <w:r>
        <w:rPr>
          <w:rFonts w:hint="eastAsia"/>
        </w:rPr>
        <mc:AlternateContent>
          <mc:Choice Requires="wps">
            <w:drawing>
              <wp:anchor distT="0" distB="0" distL="114300" distR="114300" simplePos="0" relativeHeight="188" behindDoc="0" locked="0" layoutInCell="1" hidden="0" allowOverlap="1">
                <wp:simplePos x="0" y="0"/>
                <wp:positionH relativeFrom="column">
                  <wp:posOffset>-448945</wp:posOffset>
                </wp:positionH>
                <wp:positionV relativeFrom="paragraph">
                  <wp:posOffset>3170555</wp:posOffset>
                </wp:positionV>
                <wp:extent cx="394970" cy="1754505"/>
                <wp:effectExtent l="0" t="0" r="635" b="635"/>
                <wp:wrapNone/>
                <wp:docPr id="1233" name="四角形 33"/>
                <a:graphic xmlns:a="http://schemas.openxmlformats.org/drawingml/2006/main">
                  <a:graphicData uri="http://schemas.microsoft.com/office/word/2010/wordprocessingShape">
                    <wps:wsp>
                      <wps:cNvPr id="1233" name="四角形 33"/>
                      <wps:cNvSpPr/>
                      <wps:spPr>
                        <a:xfrm>
                          <a:off x="0" y="0"/>
                          <a:ext cx="394970" cy="1754505"/>
                        </a:xfrm>
                        <a:prstGeom prst="rect">
                          <a:avLst/>
                        </a:prstGeom>
                        <a:noFill/>
                        <a:ln w="3175"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7"/>
                              <w:ind w:left="0" w:leftChars="0"/>
                              <w:rPr>
                                <w:rFonts w:hint="default" w:ascii="ＭＳ ゴシック" w:hAnsi="ＭＳ ゴシック" w:eastAsia="ＭＳ ゴシック"/>
                                <w:sz w:val="12"/>
                              </w:rPr>
                            </w:pPr>
                            <w:r>
                              <w:rPr>
                                <w:rFonts w:hint="eastAsia" w:ascii="ＭＳ ゴシック" w:hAnsi="ＭＳ ゴシック" w:eastAsia="ＭＳ ゴシック"/>
                                <w:color w:val="000000" w:themeColor="text1"/>
                                <w:sz w:val="18"/>
                              </w:rPr>
                              <w:t>歳以上の高齢者</w:t>
                            </w:r>
                          </w:p>
                        </w:txbxContent>
                      </wps:txbx>
                      <wps:bodyPr vertOverflow="clip" horzOverflow="clip" vert="eaVert" wrap="square"/>
                    </wps:wsp>
                  </a:graphicData>
                </a:graphic>
              </wp:anchor>
            </w:drawing>
          </mc:Choice>
          <mc:Fallback>
            <w:pict>
              <v:rect id="四角形 33" style="mso-wrap-distance-right:9pt;mso-wrap-distance-bottom:0pt;margin-top:249.65pt;mso-position-vertical-relative:text;mso-position-horizontal-relative:text;position:absolute;height:138.15pt;mso-wrap-distance-top:0pt;width:31.1pt;mso-wrap-distance-left:9pt;margin-left:-35.35pt;z-index:188;" o:spid="_x0000_s1233" o:allowincell="t" o:allowoverlap="t" filled="f" stroked="f" strokecolor="#32528f" strokeweight="0.25pt" o:spt="1">
                <v:fill/>
                <v:stroke linestyle="single" miterlimit="8" endcap="flat" dashstyle="solid"/>
                <v:textbox style="layout-flow:vertical-ideographic;">
                  <w:txbxContent>
                    <w:p>
                      <w:pPr>
                        <w:pStyle w:val="47"/>
                        <w:ind w:left="0" w:leftChars="0"/>
                        <w:rPr>
                          <w:rFonts w:hint="default" w:ascii="ＭＳ ゴシック" w:hAnsi="ＭＳ ゴシック" w:eastAsia="ＭＳ ゴシック"/>
                          <w:sz w:val="12"/>
                        </w:rPr>
                      </w:pPr>
                      <w:r>
                        <w:rPr>
                          <w:rFonts w:hint="eastAsia" w:ascii="ＭＳ ゴシック" w:hAnsi="ＭＳ ゴシック" w:eastAsia="ＭＳ ゴシック"/>
                          <w:color w:val="000000" w:themeColor="text1"/>
                          <w:sz w:val="18"/>
                        </w:rPr>
                        <w:t>歳以上の高齢者</w:t>
                      </w:r>
                    </w:p>
                  </w:txbxContent>
                </v:textbox>
                <v:imagedata o:title=""/>
                <w10:wrap type="none" anchorx="text" anchory="text"/>
              </v:rect>
            </w:pict>
          </mc:Fallback>
        </mc:AlternateContent>
      </w:r>
      <w:r>
        <w:rPr>
          <w:rFonts w:hint="eastAsia" w:ascii="ＭＳ ゴシック" w:hAnsi="ＭＳ ゴシック" w:eastAsia="ＭＳ ゴシック"/>
          <w:sz w:val="10"/>
        </w:rPr>
        <mc:AlternateContent>
          <mc:Choice Requires="wps">
            <w:drawing>
              <wp:anchor distT="0" distB="0" distL="114300" distR="114300" simplePos="0" relativeHeight="250" behindDoc="1" locked="1" layoutInCell="1" hidden="0" allowOverlap="1">
                <wp:simplePos x="0" y="0"/>
                <wp:positionH relativeFrom="column">
                  <wp:posOffset>-391795</wp:posOffset>
                </wp:positionH>
                <wp:positionV relativeFrom="paragraph">
                  <wp:posOffset>672465</wp:posOffset>
                </wp:positionV>
                <wp:extent cx="256540" cy="7907655"/>
                <wp:effectExtent l="0" t="0" r="635" b="635"/>
                <wp:wrapNone/>
                <wp:docPr id="1234" name="正方形/長方形 1211"/>
                <a:graphic xmlns:a="http://schemas.openxmlformats.org/drawingml/2006/main">
                  <a:graphicData uri="http://schemas.microsoft.com/office/word/2010/wordprocessingShape">
                    <wps:wsp>
                      <wps:cNvPr id="1234" name="正方形/長方形 1211"/>
                      <wps:cNvSpPr/>
                      <wps:spPr>
                        <a:xfrm>
                          <a:off x="0" y="0"/>
                          <a:ext cx="256540" cy="790765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shd w:val="clear" w:color="auto" w:themeFill="accent2" w:themeFillTint="33" w:themeFillShade="FF"/>
                              </w:rPr>
                            </w:pPr>
                          </w:p>
                        </w:txbxContent>
                      </wps:txbx>
                      <wps:bodyPr rot="0" vertOverflow="overflow" horzOverflow="overflow" vert="eaVert" wrap="square" numCol="1" spcCol="0" rtlCol="0" fromWordArt="0" anchor="ctr" anchorCtr="0" forceAA="0" compatLnSpc="1"/>
                    </wps:wsp>
                  </a:graphicData>
                </a:graphic>
              </wp:anchor>
            </w:drawing>
          </mc:Choice>
          <mc:Fallback>
            <w:pict>
              <v:rect id="正方形/長方形 1211" style="mso-wrap-distance-right:9pt;mso-wrap-distance-bottom:0pt;margin-top:52.95pt;mso-position-vertical-relative:text;mso-position-horizontal-relative:text;v-text-anchor:middle;position:absolute;height:622.65pt;mso-wrap-distance-top:0pt;width:20.2pt;mso-wrap-distance-left:9pt;margin-left:-30.85pt;z-index:-503316230;" o:spid="_x0000_s1234" o:allowincell="t" o:allowoverlap="t" filled="t" fillcolor="#f8cbad [1301]" stroked="f" strokecolor="#32528f" strokeweight="1pt" o:spt="1">
                <v:fill/>
                <v:stroke linestyle="single" miterlimit="8" endcap="flat" dashstyle="solid"/>
                <v:textbox style="layout-flow:vertical-ideographic;">
                  <w:txbxContent>
                    <w:p>
                      <w:pPr>
                        <w:pStyle w:val="0"/>
                        <w:jc w:val="center"/>
                        <w:rPr>
                          <w:rFonts w:hint="default"/>
                          <w:shd w:val="clear" w:color="auto" w:themeFill="accent2" w:themeFillTint="33" w:themeFillShade="FF"/>
                        </w:rPr>
                      </w:pPr>
                    </w:p>
                  </w:txbxContent>
                </v:textbox>
                <v:imagedata o:title=""/>
                <w10:wrap type="none" anchorx="text" anchory="text"/>
                <w10:anchorlock/>
              </v:rect>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85</w:t>
      </w:r>
      <w:r>
        <w:rPr>
          <w:rFonts w:hint="eastAsia" w:ascii="ＭＳ ゴシック" w:hAnsi="ＭＳ ゴシック" w:eastAsia="ＭＳ ゴシック"/>
          <w:sz w:val="21"/>
        </w:rPr>
        <w:t>：本市の地域包括ケアシステムの全体像（現状）</w:t>
      </w:r>
    </w:p>
    <w:tbl>
      <w:tblPr>
        <w:tblStyle w:val="59"/>
        <w:tblW w:w="10207" w:type="dxa"/>
        <w:tblInd w:w="-34" w:type="dxa"/>
        <w:tblLayout w:type="fixed"/>
        <w:tblLook w:firstRow="1" w:lastRow="0" w:firstColumn="1" w:lastColumn="0" w:noHBand="0" w:noVBand="1" w:val="04A0"/>
      </w:tblPr>
      <w:tblGrid>
        <w:gridCol w:w="426"/>
        <w:gridCol w:w="425"/>
        <w:gridCol w:w="992"/>
        <w:gridCol w:w="1701"/>
        <w:gridCol w:w="1701"/>
        <w:gridCol w:w="1701"/>
        <w:gridCol w:w="1701"/>
        <w:gridCol w:w="1560"/>
      </w:tblGrid>
      <w:tr>
        <w:trPr/>
        <w:tc>
          <w:tcPr>
            <w:tcW w:w="1843" w:type="dxa"/>
            <w:gridSpan w:val="3"/>
            <w:vMerge w:val="restart"/>
            <w:tcBorders>
              <w:top w:val="single" w:color="auto" w:sz="12" w:space="0"/>
              <w:left w:val="single" w:color="auto" w:sz="12" w:space="0"/>
              <w:bottom w:val="none" w:color="auto" w:sz="0" w:space="0"/>
              <w:right w:val="single" w:color="auto" w:sz="12" w:space="0"/>
              <w:tl2br w:val="single" w:color="auto" w:sz="4" w:space="0"/>
              <w:tr2bl w:val="none" w:color="auto" w:sz="0" w:space="0"/>
            </w:tcBorders>
            <w:shd w:val="clear" w:color="auto" w:themeFill="accent5" w:themeFillTint="33" w:themeFillShade="FF"/>
            <w:vAlign w:val="top"/>
          </w:tcPr>
          <w:p>
            <w:pPr>
              <w:pStyle w:val="0"/>
              <w:shd w:val="clear" w:color="auto" w:themeFill="accent5" w:themeFillTint="33" w:themeFillShade="FF"/>
              <w:spacing w:before="36" w:beforeLines="10" w:beforeAutospacing="0" w:line="180" w:lineRule="exact"/>
              <w:ind w:right="-144" w:rightChars="-60"/>
              <w:jc w:val="right"/>
              <w:rPr>
                <w:rFonts w:hint="default" w:ascii="ＭＳ ゴシック" w:hAnsi="ＭＳ ゴシック" w:eastAsia="ＭＳ ゴシック"/>
                <w:sz w:val="18"/>
              </w:rPr>
            </w:pPr>
            <w:r>
              <w:rPr>
                <w:rFonts w:hint="eastAsia"/>
              </w:rPr>
              <mc:AlternateContent>
                <mc:Choice Requires="wps">
                  <w:drawing>
                    <wp:anchor distT="0" distB="0" distL="71755" distR="71755" simplePos="0" relativeHeight="189" behindDoc="0" locked="0" layoutInCell="1" hidden="0" allowOverlap="1">
                      <wp:simplePos x="0" y="0"/>
                      <wp:positionH relativeFrom="column">
                        <wp:posOffset>-37465</wp:posOffset>
                      </wp:positionH>
                      <wp:positionV relativeFrom="paragraph">
                        <wp:posOffset>147955</wp:posOffset>
                      </wp:positionV>
                      <wp:extent cx="546100" cy="189865"/>
                      <wp:effectExtent l="0" t="0" r="635" b="635"/>
                      <wp:wrapNone/>
                      <wp:docPr id="1235" name="オブジェクト 0"/>
                      <a:graphic xmlns:a="http://schemas.openxmlformats.org/drawingml/2006/main">
                        <a:graphicData uri="http://schemas.microsoft.com/office/word/2010/wordprocessingShape">
                          <wps:wsp>
                            <wps:cNvPr id="1235" name="オブジェクト 0"/>
                            <wps:cNvSpPr txBox="1"/>
                            <wps:spPr>
                              <a:xfrm>
                                <a:off x="0" y="0"/>
                                <a:ext cx="546100" cy="1898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ＭＳ ゴシック" w:hAnsi="ＭＳ ゴシック" w:eastAsia="ＭＳ ゴシック"/>
                                      <w:sz w:val="18"/>
                                    </w:rPr>
                                    <w:t>５本柱</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65pt;mso-position-vertical-relative:text;mso-position-horizontal-relative:text;position:absolute;height:14.95pt;mso-wrap-distance-top:0pt;width:43pt;mso-wrap-distance-left:5.65pt;margin-left:-2.95pt;z-index:189;" o:spid="_x0000_s123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ＭＳ ゴシック" w:hAnsi="ＭＳ ゴシック" w:eastAsia="ＭＳ ゴシック"/>
                                <w:sz w:val="18"/>
                              </w:rPr>
                              <w:t>５本柱</w:t>
                            </w:r>
                          </w:p>
                        </w:txbxContent>
                      </v:textbox>
                      <v:imagedata o:title=""/>
                      <w10:wrap type="none" anchorx="text" anchory="text"/>
                    </v:shape>
                  </w:pict>
                </mc:Fallback>
              </mc:AlternateContent>
            </w:r>
            <w:r>
              <w:rPr>
                <w:rFonts w:hint="eastAsia" w:ascii="ＭＳ ゴシック" w:hAnsi="ＭＳ ゴシック" w:eastAsia="ＭＳ ゴシック"/>
                <w:sz w:val="18"/>
              </w:rPr>
              <w:t>　　４つの「助」</w:t>
            </w:r>
          </w:p>
        </w:tc>
        <w:tc>
          <w:tcPr>
            <w:tcW w:w="1701" w:type="dxa"/>
            <w:tcBorders>
              <w:top w:val="single" w:color="auto" w:sz="12" w:space="0"/>
              <w:left w:val="single" w:color="auto" w:sz="12" w:space="0"/>
              <w:bottom w:val="single" w:color="auto" w:sz="4" w:space="0"/>
              <w:right w:val="none" w:color="auto" w:sz="0" w:space="0"/>
              <w:tl2br w:val="nil"/>
              <w:tr2bl w:val="nil"/>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自助</w:t>
            </w:r>
          </w:p>
        </w:tc>
        <w:tc>
          <w:tcPr>
            <w:tcW w:w="1701" w:type="dxa"/>
            <w:tcBorders>
              <w:top w:val="single" w:color="auto" w:sz="12" w:space="0"/>
              <w:left w:val="none" w:color="auto" w:sz="0" w:space="0"/>
              <w:bottom w:val="single" w:color="auto" w:sz="4" w:space="0"/>
              <w:right w:val="single" w:color="auto" w:sz="12" w:space="0"/>
              <w:tl2br w:val="nil"/>
              <w:tr2bl w:val="nil"/>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互助</w:t>
            </w:r>
          </w:p>
        </w:tc>
        <w:tc>
          <w:tcPr>
            <w:tcW w:w="1701" w:type="dxa"/>
            <w:tcBorders>
              <w:top w:val="single" w:color="auto" w:sz="12" w:space="0"/>
              <w:left w:val="single" w:color="auto" w:sz="12" w:space="0"/>
              <w:bottom w:val="single" w:color="auto" w:sz="4" w:space="0"/>
              <w:right w:val="single" w:color="auto" w:sz="12" w:space="0"/>
              <w:tl2br w:val="nil"/>
              <w:tr2bl w:val="nil"/>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共助</w:t>
            </w:r>
          </w:p>
        </w:tc>
        <w:tc>
          <w:tcPr>
            <w:tcW w:w="1701" w:type="dxa"/>
            <w:tcBorders>
              <w:top w:val="single" w:color="auto" w:sz="12" w:space="0"/>
              <w:left w:val="single" w:color="auto" w:sz="12" w:space="0"/>
              <w:bottom w:val="single" w:color="auto" w:sz="4" w:space="0"/>
              <w:right w:val="double" w:color="auto" w:sz="4" w:space="0"/>
              <w:tl2br w:val="nil"/>
              <w:tr2bl w:val="nil"/>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公助</w:t>
            </w:r>
          </w:p>
        </w:tc>
        <w:tc>
          <w:tcPr>
            <w:tcW w:w="1560" w:type="dxa"/>
            <w:tcBorders>
              <w:top w:val="single" w:color="auto" w:sz="12" w:space="0"/>
              <w:left w:val="double" w:color="auto" w:sz="4" w:space="0"/>
              <w:bottom w:val="single" w:color="auto" w:sz="4" w:space="0"/>
              <w:right w:val="single" w:color="auto" w:sz="12" w:space="0"/>
              <w:tl2br w:val="nil"/>
              <w:tr2bl w:val="nil"/>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pacing w:val="0"/>
                <w:w w:val="74"/>
                <w:kern w:val="0"/>
                <w:sz w:val="18"/>
                <w:fitText w:val="1350" w:id="13"/>
              </w:rPr>
              <w:t>市場分野（民間企業</w:t>
            </w:r>
            <w:r>
              <w:rPr>
                <w:rFonts w:hint="eastAsia" w:ascii="ＭＳ ゴシック" w:hAnsi="ＭＳ ゴシック" w:eastAsia="ＭＳ ゴシック"/>
                <w:b w:val="1"/>
                <w:color w:val="FFFFFF" w:themeColor="background1"/>
                <w:spacing w:val="3"/>
                <w:w w:val="74"/>
                <w:kern w:val="0"/>
                <w:sz w:val="18"/>
                <w:fitText w:val="1350" w:id="13"/>
              </w:rPr>
              <w:t>）</w:t>
            </w:r>
          </w:p>
        </w:tc>
      </w:tr>
      <w:tr>
        <w:trPr>
          <w:trHeight w:val="150" w:hRule="atLeast"/>
        </w:trPr>
        <w:tc>
          <w:tcPr>
            <w:tcW w:w="1843" w:type="dxa"/>
            <w:gridSpan w:val="3"/>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accent5" w:themeFillTint="33" w:themeFillShade="FF"/>
            <w:vAlign w:val="top"/>
          </w:tcPr>
          <w:p>
            <w:pPr>
              <w:pStyle w:val="0"/>
              <w:spacing w:line="200" w:lineRule="exact"/>
              <w:jc w:val="center"/>
              <w:rPr>
                <w:rFonts w:hint="default" w:ascii="ＭＳ ゴシック" w:hAnsi="ＭＳ ゴシック" w:eastAsia="ＭＳ ゴシック"/>
                <w:sz w:val="18"/>
              </w:rPr>
            </w:pPr>
          </w:p>
        </w:tc>
        <w:tc>
          <w:tcPr>
            <w:tcW w:w="3402" w:type="dxa"/>
            <w:gridSpan w:val="2"/>
            <w:tcBorders>
              <w:top w:val="single" w:color="auto" w:sz="4" w:space="0"/>
              <w:left w:val="single" w:color="auto" w:sz="12" w:space="0"/>
              <w:bottom w:val="single" w:color="auto" w:sz="12" w:space="0"/>
              <w:right w:val="single" w:color="auto" w:sz="12" w:space="0"/>
              <w:tl2br w:val="none" w:color="auto" w:sz="0" w:space="0"/>
              <w:tr2bl w:val="none" w:color="auto" w:sz="0" w:space="0"/>
            </w:tcBorders>
            <w:shd w:val="clear" w:color="auto" w:themeFill="accent5" w:themeFillTint="33" w:themeFillShade="FF"/>
            <w:vAlign w:val="center"/>
          </w:tcPr>
          <w:p>
            <w:pPr>
              <w:pStyle w:val="0"/>
              <w:spacing w:before="72" w:beforeLines="20" w:beforeAutospacing="0" w:line="16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市民・家族・地域の役割</w:t>
            </w:r>
          </w:p>
        </w:tc>
        <w:tc>
          <w:tcPr>
            <w:tcW w:w="1701" w:type="dxa"/>
            <w:tcBorders>
              <w:top w:val="single" w:color="auto" w:sz="4" w:space="0"/>
              <w:left w:val="single" w:color="auto" w:sz="12" w:space="0"/>
              <w:bottom w:val="single" w:color="auto" w:sz="12" w:space="0"/>
              <w:right w:val="single" w:color="auto" w:sz="12" w:space="0"/>
              <w:tl2br w:val="none" w:color="auto" w:sz="0" w:space="0"/>
              <w:tr2bl w:val="none" w:color="auto" w:sz="0" w:space="0"/>
            </w:tcBorders>
            <w:shd w:val="clear" w:color="auto" w:themeFill="accent5" w:themeFillTint="33" w:themeFillShade="FF"/>
            <w:vAlign w:val="top"/>
          </w:tcPr>
          <w:p>
            <w:pPr>
              <w:pStyle w:val="0"/>
              <w:spacing w:before="72" w:beforeLines="20" w:beforeAutospacing="0" w:line="180" w:lineRule="exact"/>
              <w:ind w:left="-70" w:leftChars="-29" w:right="-74" w:rightChars="-31"/>
              <w:jc w:val="center"/>
              <w:rPr>
                <w:rFonts w:hint="default" w:ascii="ＭＳ ゴシック" w:hAnsi="ＭＳ ゴシック" w:eastAsia="ＭＳ ゴシック"/>
                <w:sz w:val="18"/>
              </w:rPr>
            </w:pPr>
            <w:r>
              <w:rPr>
                <w:rFonts w:hint="eastAsia" w:ascii="ＭＳ ゴシック" w:hAnsi="ＭＳ ゴシック" w:eastAsia="ＭＳ ゴシック"/>
                <w:sz w:val="14"/>
              </w:rPr>
              <w:t>行政・医療関係者の役割</w:t>
            </w:r>
          </w:p>
        </w:tc>
        <w:tc>
          <w:tcPr>
            <w:tcW w:w="1701" w:type="dxa"/>
            <w:tcBorders>
              <w:top w:val="single" w:color="auto" w:sz="4" w:space="0"/>
              <w:left w:val="single" w:color="auto" w:sz="12" w:space="0"/>
              <w:bottom w:val="single" w:color="auto" w:sz="12" w:space="0"/>
              <w:right w:val="double" w:color="auto" w:sz="4" w:space="0"/>
              <w:tl2br w:val="none" w:color="auto" w:sz="0" w:space="0"/>
              <w:tr2bl w:val="none" w:color="auto" w:sz="0" w:space="0"/>
            </w:tcBorders>
            <w:shd w:val="clear" w:color="auto" w:themeFill="accent5" w:themeFillTint="33" w:themeFillShade="FF"/>
            <w:vAlign w:val="top"/>
          </w:tcPr>
          <w:p>
            <w:pPr>
              <w:pStyle w:val="0"/>
              <w:spacing w:before="72" w:beforeLines="20" w:beforeAutospacing="0" w:line="16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行政の役割</w:t>
            </w:r>
          </w:p>
        </w:tc>
        <w:tc>
          <w:tcPr>
            <w:tcW w:w="1560" w:type="dxa"/>
            <w:tcBorders>
              <w:top w:val="single" w:color="auto" w:sz="4" w:space="0"/>
              <w:left w:val="double" w:color="auto" w:sz="4" w:space="0"/>
              <w:bottom w:val="single" w:color="auto" w:sz="12" w:space="0"/>
              <w:right w:val="single" w:color="auto" w:sz="12" w:space="0"/>
              <w:tl2br w:val="none" w:color="auto" w:sz="0" w:space="0"/>
              <w:tr2bl w:val="none" w:color="auto" w:sz="0" w:space="0"/>
            </w:tcBorders>
            <w:shd w:val="clear" w:color="auto" w:themeFill="accent5" w:themeFillTint="33" w:themeFillShade="FF"/>
            <w:vAlign w:val="top"/>
          </w:tcPr>
          <w:p>
            <w:pPr>
              <w:pStyle w:val="0"/>
              <w:snapToGrid w:val="0"/>
              <w:spacing w:line="160" w:lineRule="exact"/>
              <w:rPr>
                <w:rFonts w:hint="default" w:ascii="ＭＳ ゴシック" w:hAnsi="ＭＳ ゴシック" w:eastAsia="ＭＳ ゴシック"/>
                <w:sz w:val="14"/>
              </w:rPr>
            </w:pPr>
          </w:p>
        </w:tc>
      </w:tr>
      <w:tr>
        <w:tblPrEx>
          <w:tblCellMar>
            <w:left w:w="99" w:type="dxa"/>
            <w:right w:w="99" w:type="dxa"/>
          </w:tblCellMar>
        </w:tblPrEx>
        <w:trPr>
          <w:cantSplit/>
          <w:trHeight w:val="3373" w:hRule="atLeast"/>
        </w:trPr>
        <w:tc>
          <w:tcPr>
            <w:tcW w:w="426" w:type="dxa"/>
            <w:vMerge w:val="restart"/>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b w:val="1"/>
                <w:sz w:val="18"/>
              </w:rPr>
            </w:pPr>
            <w:r>
              <w:rPr>
                <w:rFonts w:hint="eastAsia" w:ascii="ＭＳ ゴシック" w:hAnsi="ＭＳ ゴシック" w:eastAsia="ＭＳ ゴシック"/>
                <w:b w:val="1"/>
                <w:color w:val="FFFFFF" w:themeColor="background1"/>
                <w:sz w:val="18"/>
              </w:rPr>
              <w:t>生活支援</w:t>
            </w:r>
          </w:p>
        </w:tc>
        <w:tc>
          <w:tcPr>
            <w:tcW w:w="425" w:type="dxa"/>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日常的な家事</w:t>
            </w:r>
          </w:p>
        </w:tc>
        <w:tc>
          <w:tcPr>
            <w:tcW w:w="992" w:type="dxa"/>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accent6" w:themeFillTint="66" w:themeFillShade="FF"/>
            <w:vAlign w:val="center"/>
          </w:tcPr>
          <w:p>
            <w:pPr>
              <w:pStyle w:val="0"/>
              <w:spacing w:before="180" w:beforeLines="50" w:beforeAutospacing="0" w:line="160" w:lineRule="exact"/>
              <w:ind w:right="-34" w:rightChars="-14"/>
              <w:contextualSpacing w:val="1"/>
              <w:jc w:val="both"/>
              <w:rPr>
                <w:rFonts w:hint="default" w:ascii="ＭＳ ゴシック" w:hAnsi="ＭＳ ゴシック" w:eastAsia="ＭＳ ゴシック"/>
                <w:sz w:val="16"/>
              </w:rPr>
            </w:pPr>
            <w:r>
              <w:rPr>
                <w:rFonts w:hint="eastAsia" w:ascii="ＭＳ ゴシック" w:hAnsi="ＭＳ ゴシック" w:eastAsia="ＭＳ ゴシック"/>
                <w:sz w:val="16"/>
              </w:rPr>
              <w:t>食事（調理）日用品の買い物、洗濯、掃除、布団干しなどの日常的な家事</w:t>
            </w:r>
          </w:p>
          <w:p>
            <w:pPr>
              <w:pStyle w:val="0"/>
              <w:spacing w:line="160" w:lineRule="exact"/>
              <w:ind w:right="-34" w:rightChars="-14"/>
              <w:contextualSpacing w:val="1"/>
              <w:jc w:val="both"/>
              <w:rPr>
                <w:rFonts w:hint="default" w:ascii="ＭＳ ゴシック" w:hAnsi="ＭＳ ゴシック" w:eastAsia="ＭＳ ゴシック"/>
                <w:sz w:val="16"/>
              </w:rPr>
            </w:pPr>
          </w:p>
          <w:p>
            <w:pPr>
              <w:pStyle w:val="0"/>
              <w:spacing w:line="160" w:lineRule="exact"/>
              <w:ind w:right="-34" w:rightChars="-14"/>
              <w:contextualSpacing w:val="1"/>
              <w:jc w:val="both"/>
              <w:rPr>
                <w:rFonts w:hint="default" w:ascii="ＭＳ ゴシック" w:hAnsi="ＭＳ ゴシック" w:eastAsia="ＭＳ ゴシック"/>
                <w:sz w:val="16"/>
              </w:rPr>
            </w:pPr>
            <w:r>
              <w:rPr>
                <w:rFonts w:hint="eastAsia" w:ascii="ＭＳ ゴシック" w:hAnsi="ＭＳ ゴシック" w:eastAsia="ＭＳ ゴシック"/>
                <w:sz w:val="16"/>
              </w:rPr>
              <w:t>蛍光灯の交換や硬いふたの開け閉めなどのちょっとした困りごと</w:t>
            </w:r>
          </w:p>
        </w:tc>
        <w:tc>
          <w:tcPr>
            <w:tcW w:w="1701" w:type="dxa"/>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○自分の力で住み慣れた地域で暮らすために、掃除や洗濯、ごみ出しなど自分のことを自分でする</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○掃除機をかけるのが大変になったら、助けとなるような道具を生活支援用具として上手く生かしたり、暮らし方をかえてみる</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○買い物が大変になったら、缶詰やレトルト食品など日持ちする食料を多めにストックする</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○民間事業者や家事代行サービスや配食サービスを利用する</w:t>
            </w:r>
          </w:p>
        </w:tc>
        <w:tc>
          <w:tcPr>
            <w:tcW w:w="1701" w:type="dxa"/>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○ふれあいホームサービス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○家族代理サービス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ＮＰＯ</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○家事援助の時間預託</w:t>
            </w:r>
            <w:r>
              <w:rPr>
                <w:rFonts w:hint="default" w:ascii="ＭＳ ゴシック" w:hAnsi="ＭＳ ゴシック" w:eastAsia="ＭＳ ゴシック"/>
                <w:sz w:val="16"/>
              </w:rPr>
              <w:t>(</w:t>
            </w:r>
            <w:r>
              <w:rPr>
                <w:rFonts w:hint="default" w:ascii="ＭＳ ゴシック" w:hAnsi="ＭＳ ゴシック" w:eastAsia="ＭＳ ゴシック"/>
                <w:sz w:val="16"/>
              </w:rPr>
              <w:t>ＮＰＯ</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○家事援助サービス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シルバー</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○気軽にサポート隊</w:t>
            </w:r>
            <w:r>
              <w:rPr>
                <w:rFonts w:hint="default" w:ascii="ＭＳ ゴシック" w:hAnsi="ＭＳ ゴシック" w:eastAsia="ＭＳ ゴシック"/>
                <w:sz w:val="16"/>
              </w:rPr>
              <w:t>(</w:t>
            </w:r>
            <w:r>
              <w:rPr>
                <w:rFonts w:hint="default" w:ascii="ＭＳ ゴシック" w:hAnsi="ＭＳ ゴシック" w:eastAsia="ＭＳ ゴシック"/>
                <w:sz w:val="16"/>
              </w:rPr>
              <w:t>シルバー</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○家事支援サービス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生協</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○移動販売車の運行</w:t>
            </w:r>
            <w:r>
              <w:rPr>
                <w:rFonts w:hint="default" w:ascii="ＭＳ ゴシック" w:hAnsi="ＭＳ ゴシック" w:eastAsia="ＭＳ ゴシック"/>
                <w:sz w:val="16"/>
              </w:rPr>
              <w:t>(</w:t>
            </w:r>
            <w:r>
              <w:rPr>
                <w:rFonts w:hint="default" w:ascii="ＭＳ ゴシック" w:hAnsi="ＭＳ ゴシック" w:eastAsia="ＭＳ ゴシック"/>
                <w:sz w:val="16"/>
              </w:rPr>
              <w:t>生協</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○買い物宅配サービス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生協</w:t>
            </w:r>
            <w:r>
              <w:rPr>
                <w:rFonts w:hint="eastAsia"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○自治会による高齢者ごみ出し支援</w:t>
            </w:r>
          </w:p>
        </w:tc>
        <w:tc>
          <w:tcPr>
            <w:tcW w:w="1701" w:type="dxa"/>
            <w:tcBorders>
              <w:top w:val="single" w:color="auto" w:sz="12" w:space="0"/>
              <w:left w:val="single" w:color="auto" w:sz="12" w:space="0"/>
              <w:bottom w:val="none" w:color="auto" w:sz="0" w:space="0"/>
              <w:right w:val="single" w:color="auto" w:sz="12" w:space="0"/>
              <w:tl2br w:val="none" w:color="auto" w:sz="0" w:space="0"/>
              <w:tr2bl w:val="single" w:color="auto" w:sz="4" w:space="0"/>
            </w:tcBorders>
            <w:shd w:val="clear" w:color="auto" w:fill="auto"/>
            <w:vAlign w:val="top"/>
          </w:tcPr>
          <w:p>
            <w:pPr>
              <w:pStyle w:val="0"/>
              <w:spacing w:line="140" w:lineRule="exact"/>
              <w:ind w:left="-48" w:leftChars="-20" w:right="-96" w:rightChars="-40"/>
              <w:rPr>
                <w:rFonts w:hint="default" w:ascii="ＭＳ ゴシック" w:hAnsi="ＭＳ ゴシック" w:eastAsia="ＭＳ ゴシック"/>
                <w:sz w:val="12"/>
              </w:rPr>
            </w:pPr>
          </w:p>
        </w:tc>
        <w:tc>
          <w:tcPr>
            <w:tcW w:w="1701" w:type="dxa"/>
            <w:tcBorders>
              <w:top w:val="single" w:color="auto" w:sz="12" w:space="0"/>
              <w:left w:val="single" w:color="auto" w:sz="12" w:space="0"/>
              <w:bottom w:val="none" w:color="auto" w:sz="0" w:space="0"/>
              <w:right w:val="double" w:color="auto" w:sz="4" w:space="0"/>
              <w:tl2br w:val="none" w:color="auto" w:sz="0" w:space="0"/>
              <w:tr2bl w:val="none" w:color="auto" w:sz="0" w:space="0"/>
            </w:tcBorders>
            <w:shd w:val="clear" w:color="auto" w:fill="auto"/>
            <w:vAlign w:val="top"/>
          </w:tcPr>
          <w:p>
            <w:pPr>
              <w:pStyle w:val="0"/>
              <w:snapToGrid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○緊急時支援サービス（ホームヘルプサー　　　　　ビスなど）</w:t>
            </w:r>
          </w:p>
        </w:tc>
        <w:tc>
          <w:tcPr>
            <w:tcW w:w="1560" w:type="dxa"/>
            <w:tcBorders>
              <w:top w:val="single" w:color="auto" w:sz="12" w:space="0"/>
              <w:left w:val="double" w:color="auto" w:sz="4"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○家事代行サービス</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○配食サービス</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○寝具衛生加工サービス</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○訪問介護サービス事業所による自費の家事援助サービス</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color w:val="000000" w:themeColor="text1"/>
                <w:sz w:val="16"/>
              </w:rPr>
              <w:t>○移動販売車の運行</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○買い物宅配サービス</w:t>
            </w:r>
          </w:p>
        </w:tc>
      </w:tr>
      <w:tr>
        <w:trPr>
          <w:cantSplit/>
          <w:trHeight w:val="2850" w:hRule="atLeast"/>
        </w:trPr>
        <w:tc>
          <w:tcPr>
            <w:tcW w:w="426"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rPr>
            </w:pPr>
          </w:p>
        </w:tc>
        <w:tc>
          <w:tcPr>
            <w:tcW w:w="425"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安心</w:t>
            </w:r>
          </w:p>
        </w:tc>
        <w:tc>
          <w:tcPr>
            <w:tcW w:w="992"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60" w:lineRule="exact"/>
              <w:ind w:right="-34" w:rightChars="-14"/>
              <w:jc w:val="both"/>
              <w:rPr>
                <w:rFonts w:hint="default" w:ascii="ＭＳ ゴシック" w:hAnsi="ＭＳ ゴシック" w:eastAsia="ＭＳ ゴシック"/>
                <w:sz w:val="16"/>
              </w:rPr>
            </w:pPr>
            <w:r>
              <w:rPr>
                <w:rFonts w:hint="eastAsia" w:ascii="ＭＳ ゴシック" w:hAnsi="ＭＳ ゴシック" w:eastAsia="ＭＳ ゴシック"/>
                <w:sz w:val="16"/>
              </w:rPr>
              <w:t>自分の存在を気にかけてくれる人がいる</w:t>
            </w:r>
          </w:p>
          <w:p>
            <w:pPr>
              <w:pStyle w:val="0"/>
              <w:spacing w:line="160" w:lineRule="exact"/>
              <w:ind w:right="-34" w:rightChars="-14"/>
              <w:jc w:val="both"/>
              <w:rPr>
                <w:rFonts w:hint="default" w:ascii="ＭＳ ゴシック" w:hAnsi="ＭＳ ゴシック" w:eastAsia="ＭＳ ゴシック"/>
                <w:sz w:val="16"/>
              </w:rPr>
            </w:pPr>
          </w:p>
          <w:p>
            <w:pPr>
              <w:pStyle w:val="0"/>
              <w:spacing w:line="160" w:lineRule="exact"/>
              <w:ind w:left="-6" w:leftChars="-30" w:right="-94" w:rightChars="-39" w:hanging="66" w:hangingChars="41"/>
              <w:jc w:val="both"/>
              <w:rPr>
                <w:rFonts w:hint="default" w:ascii="ＭＳ ゴシック" w:hAnsi="ＭＳ ゴシック" w:eastAsia="ＭＳ ゴシック"/>
                <w:i w:val="1"/>
                <w:sz w:val="16"/>
              </w:rPr>
            </w:pPr>
            <w:r>
              <w:rPr>
                <w:rFonts w:hint="eastAsia" w:ascii="ＭＳ ゴシック" w:hAnsi="ＭＳ ゴシック" w:eastAsia="ＭＳ ゴシック"/>
                <w:sz w:val="16"/>
              </w:rPr>
              <w:t>(</w:t>
            </w:r>
            <w:r>
              <w:rPr>
                <w:rFonts w:hint="eastAsia" w:ascii="ＭＳ ゴシック" w:hAnsi="ＭＳ ゴシック" w:eastAsia="ＭＳ ゴシック"/>
                <w:sz w:val="16"/>
              </w:rPr>
              <w:t>見守りや安</w:t>
            </w:r>
          </w:p>
          <w:p>
            <w:pPr>
              <w:pStyle w:val="0"/>
              <w:spacing w:line="160" w:lineRule="exact"/>
              <w:ind w:left="18" w:leftChars="-20" w:right="-94" w:rightChars="-39" w:hanging="66" w:hangingChars="41"/>
              <w:jc w:val="both"/>
              <w:rPr>
                <w:rFonts w:hint="default" w:ascii="ＭＳ ゴシック" w:hAnsi="ＭＳ ゴシック" w:eastAsia="ＭＳ ゴシック"/>
                <w:i w:val="1"/>
                <w:sz w:val="16"/>
              </w:rPr>
            </w:pPr>
            <w:r>
              <w:rPr>
                <w:rFonts w:hint="eastAsia" w:ascii="ＭＳ ゴシック" w:hAnsi="ＭＳ ゴシック" w:eastAsia="ＭＳ ゴシック"/>
                <w:sz w:val="16"/>
              </w:rPr>
              <w:t>否確認など</w:t>
            </w:r>
            <w:r>
              <w:rPr>
                <w:rFonts w:hint="eastAsia" w:ascii="ＭＳ ゴシック" w:hAnsi="ＭＳ ゴシック" w:eastAsia="ＭＳ ゴシック"/>
                <w:sz w:val="16"/>
              </w:rPr>
              <w:t>)</w:t>
            </w:r>
          </w:p>
        </w:tc>
        <w:tc>
          <w:tcPr>
            <w:tcW w:w="1701"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○自治会に加入する</w:t>
            </w:r>
          </w:p>
          <w:p>
            <w:pPr>
              <w:pStyle w:val="0"/>
              <w:spacing w:before="20" w:beforeLines="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○ご近所づきあいを大事にする</w:t>
            </w:r>
          </w:p>
          <w:p>
            <w:pPr>
              <w:pStyle w:val="0"/>
              <w:spacing w:before="20" w:beforeLines="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○警備会社等による高齢者見守りサービスを利用する</w:t>
            </w:r>
          </w:p>
        </w:tc>
        <w:tc>
          <w:tcPr>
            <w:tcW w:w="1701"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○一声訪問活動</w:t>
            </w:r>
            <w:r>
              <w:rPr>
                <w:rFonts w:hint="eastAsia" w:ascii="ＭＳ ゴシック" w:hAnsi="ＭＳ ゴシック" w:eastAsia="ＭＳ ゴシック"/>
                <w:sz w:val="16"/>
              </w:rPr>
              <w:t>(</w:t>
            </w:r>
            <w:r>
              <w:rPr>
                <w:rFonts w:hint="default" w:ascii="ＭＳ ゴシック" w:hAnsi="ＭＳ ゴシック" w:eastAsia="ＭＳ ゴシック"/>
                <w:sz w:val="16"/>
              </w:rPr>
              <w:t>社協</w:t>
            </w:r>
            <w:r>
              <w:rPr>
                <w:rFonts w:hint="eastAsia"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○みのお見守り支援システム</w:t>
            </w:r>
            <w:r>
              <w:rPr>
                <w:rFonts w:hint="default" w:ascii="ＭＳ ゴシック" w:hAnsi="ＭＳ ゴシック" w:eastAsia="ＭＳ ゴシック"/>
                <w:sz w:val="16"/>
              </w:rPr>
              <w:t>「よりそい隊」</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○自治会や隣近所による見守り</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○民生委員活動</w:t>
            </w:r>
          </w:p>
        </w:tc>
        <w:tc>
          <w:tcPr>
            <w:tcW w:w="1701" w:type="dxa"/>
            <w:tcBorders>
              <w:top w:val="none" w:color="auto" w:sz="0" w:space="0"/>
              <w:left w:val="single" w:color="auto" w:sz="12" w:space="0"/>
              <w:bottom w:val="none" w:color="auto" w:sz="0" w:space="0"/>
              <w:right w:val="single" w:color="auto" w:sz="12" w:space="0"/>
              <w:tl2br w:val="none" w:color="auto" w:sz="0" w:space="0"/>
              <w:tr2bl w:val="single" w:color="auto" w:sz="4" w:space="0"/>
            </w:tcBorders>
            <w:shd w:val="clear" w:color="auto" w:fill="auto"/>
            <w:vAlign w:val="top"/>
          </w:tcPr>
          <w:p>
            <w:pPr>
              <w:pStyle w:val="0"/>
              <w:spacing w:line="140" w:lineRule="exact"/>
              <w:ind w:left="-20" w:right="-96" w:rightChars="-40"/>
              <w:rPr>
                <w:rFonts w:hint="default" w:ascii="ＭＳ ゴシック" w:hAnsi="ＭＳ ゴシック" w:eastAsia="ＭＳ ゴシック"/>
                <w:sz w:val="12"/>
              </w:rPr>
            </w:pPr>
          </w:p>
        </w:tc>
        <w:tc>
          <w:tcPr>
            <w:tcW w:w="1701" w:type="dxa"/>
            <w:tcBorders>
              <w:top w:val="none" w:color="auto" w:sz="0" w:space="0"/>
              <w:left w:val="single" w:color="auto" w:sz="12" w:space="0"/>
              <w:bottom w:val="none" w:color="auto" w:sz="0"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○緊急通報機器の設置</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○位置情報提供サービス</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○見守り</w:t>
            </w:r>
            <w:r>
              <w:rPr>
                <w:rFonts w:hint="eastAsia" w:ascii="ＭＳ ゴシック" w:hAnsi="ＭＳ ゴシック" w:eastAsia="ＭＳ ゴシック"/>
                <w:sz w:val="15"/>
              </w:rPr>
              <w:t>サービス</w:t>
            </w:r>
            <w:r>
              <w:rPr>
                <w:rFonts w:hint="eastAsia" w:ascii="ＭＳ ゴシック" w:hAnsi="ＭＳ ゴシック" w:eastAsia="ＭＳ ゴシック"/>
                <w:sz w:val="16"/>
              </w:rPr>
              <w:t>o</w:t>
            </w:r>
            <w:r>
              <w:rPr>
                <w:rFonts w:hint="default" w:ascii="ＭＳ ゴシック" w:hAnsi="ＭＳ ゴシック" w:eastAsia="ＭＳ ゴシック"/>
                <w:sz w:val="16"/>
              </w:rPr>
              <w:t>tta</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○成年後見制度</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w:t>
            </w:r>
            <w:r>
              <w:rPr>
                <w:rFonts w:hint="default" w:ascii="ＭＳ ゴシック" w:hAnsi="ＭＳ ゴシック" w:eastAsia="ＭＳ ゴシック"/>
                <w:sz w:val="16"/>
              </w:rPr>
              <w:t>市長申立</w:t>
            </w:r>
            <w:r>
              <w:rPr>
                <w:rFonts w:hint="eastAsia" w:ascii="ＭＳ ゴシック" w:hAnsi="ＭＳ ゴシック" w:eastAsia="ＭＳ ゴシック"/>
                <w:sz w:val="16"/>
              </w:rPr>
              <w:t>て</w:t>
            </w:r>
            <w:r>
              <w:rPr>
                <w:rFonts w:hint="default" w:ascii="ＭＳ ゴシック" w:hAnsi="ＭＳ ゴシック" w:eastAsia="ＭＳ ゴシック"/>
                <w:sz w:val="16"/>
              </w:rPr>
              <w:t>・</w:t>
            </w:r>
            <w:r>
              <w:rPr>
                <w:rFonts w:hint="eastAsia" w:ascii="ＭＳ ゴシック" w:hAnsi="ＭＳ ゴシック" w:eastAsia="ＭＳ ゴシック"/>
                <w:sz w:val="16"/>
              </w:rPr>
              <w:t>助成）</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○救急安心カード</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○みのお行方不明者</w:t>
            </w:r>
          </w:p>
          <w:p>
            <w:pPr>
              <w:pStyle w:val="0"/>
              <w:spacing w:line="160" w:lineRule="exact"/>
              <w:ind w:left="96" w:leftChars="40" w:right="-96" w:rightChars="-40"/>
              <w:rPr>
                <w:rFonts w:hint="default" w:ascii="ＭＳ ゴシック" w:hAnsi="ＭＳ ゴシック" w:eastAsia="ＭＳ ゴシック"/>
                <w:sz w:val="16"/>
              </w:rPr>
            </w:pPr>
            <w:r>
              <w:rPr>
                <w:rFonts w:hint="eastAsia" w:ascii="ＭＳ ゴシック" w:hAnsi="ＭＳ ゴシック" w:eastAsia="ＭＳ ゴシック"/>
                <w:sz w:val="16"/>
              </w:rPr>
              <w:t>ＳＯＳネット</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○市民安全メール</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○権利擁護</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○日常生活自立支援事業「まかせてねット」</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○生活困窮者自立支援事業</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○養護老人ホームへの措置</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○緊急時支援サービス（</w:t>
            </w:r>
            <w:r>
              <w:rPr>
                <w:rFonts w:hint="default" w:ascii="ＭＳ ゴシック" w:hAnsi="ＭＳ ゴシック" w:eastAsia="ＭＳ ゴシック"/>
                <w:sz w:val="16"/>
              </w:rPr>
              <w:t>ショートステイサービスなど）</w:t>
            </w:r>
          </w:p>
        </w:tc>
        <w:tc>
          <w:tcPr>
            <w:tcW w:w="1560" w:type="dxa"/>
            <w:tcBorders>
              <w:top w:val="none" w:color="auto" w:sz="0" w:space="0"/>
              <w:left w:val="double" w:color="auto" w:sz="4"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○高齢者向け緊急通報システム</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○訪問介護サービス事業所による自費の安否確認や話相手のサービス</w:t>
            </w:r>
          </w:p>
        </w:tc>
      </w:tr>
      <w:tr>
        <w:trPr>
          <w:trHeight w:val="1804" w:hRule="atLeast"/>
        </w:trPr>
        <w:tc>
          <w:tcPr>
            <w:tcW w:w="426"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rPr>
            </w:pPr>
          </w:p>
        </w:tc>
        <w:tc>
          <w:tcPr>
            <w:tcW w:w="425"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外出</w:t>
            </w:r>
          </w:p>
        </w:tc>
        <w:tc>
          <w:tcPr>
            <w:tcW w:w="992"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60" w:lineRule="exact"/>
              <w:ind w:right="-34" w:rightChars="-14"/>
              <w:jc w:val="both"/>
              <w:rPr>
                <w:rFonts w:hint="default" w:ascii="ＭＳ ゴシック" w:hAnsi="ＭＳ ゴシック" w:eastAsia="ＭＳ ゴシック"/>
                <w:sz w:val="16"/>
              </w:rPr>
            </w:pPr>
            <w:r>
              <w:rPr>
                <w:rFonts w:hint="eastAsia" w:ascii="ＭＳ ゴシック" w:hAnsi="ＭＳ ゴシック" w:eastAsia="ＭＳ ゴシック"/>
                <w:sz w:val="16"/>
              </w:rPr>
              <w:t>通院や買い物、付き添いなど</w:t>
            </w:r>
          </w:p>
        </w:tc>
        <w:tc>
          <w:tcPr>
            <w:tcW w:w="1701"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○近所の知り合い数人とタクシーに乗り合わせて買い物に行く</w:t>
            </w:r>
          </w:p>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color w:val="000000" w:themeColor="text1"/>
                <w:sz w:val="16"/>
              </w:rPr>
              <w:t>○近くに住む子ども達に送迎してもらう</w:t>
            </w:r>
          </w:p>
        </w:tc>
        <w:tc>
          <w:tcPr>
            <w:tcW w:w="1701"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○ふれあいホームサービス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spacing w:line="160" w:lineRule="exact"/>
              <w:ind w:left="84" w:leftChars="-19" w:right="-98" w:rightChars="-41" w:hanging="130" w:hangingChars="81"/>
              <w:rPr>
                <w:rFonts w:hint="default" w:ascii="ＭＳ ゴシック" w:hAnsi="ＭＳ ゴシック" w:eastAsia="ＭＳ ゴシック"/>
                <w:sz w:val="16"/>
              </w:rPr>
            </w:pPr>
            <w:r>
              <w:rPr>
                <w:rFonts w:hint="eastAsia" w:ascii="ＭＳ ゴシック" w:hAnsi="ＭＳ ゴシック" w:eastAsia="ＭＳ ゴシック"/>
                <w:sz w:val="16"/>
              </w:rPr>
              <w:t>○地域限定または会員限定の外出時・通院時の付き添い</w:t>
            </w:r>
            <w:r>
              <w:rPr>
                <w:rFonts w:hint="default" w:ascii="ＭＳ ゴシック" w:hAnsi="ＭＳ ゴシック" w:eastAsia="ＭＳ ゴシック"/>
                <w:sz w:val="16"/>
              </w:rPr>
              <w:t>(</w:t>
            </w:r>
            <w:r>
              <w:rPr>
                <w:rFonts w:hint="default" w:ascii="ＭＳ ゴシック" w:hAnsi="ＭＳ ゴシック" w:eastAsia="ＭＳ ゴシック"/>
                <w:sz w:val="16"/>
              </w:rPr>
              <w:t>ＮＰＯ</w:t>
            </w:r>
            <w:r>
              <w:rPr>
                <w:rFonts w:hint="default" w:ascii="ＭＳ ゴシック" w:hAnsi="ＭＳ ゴシック" w:eastAsia="ＭＳ ゴシック"/>
                <w:sz w:val="16"/>
              </w:rPr>
              <w:t>)</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○福祉有償運送</w:t>
            </w:r>
          </w:p>
          <w:p>
            <w:pPr>
              <w:pStyle w:val="0"/>
              <w:spacing w:line="160" w:lineRule="exact"/>
              <w:ind w:left="195" w:leftChars="20" w:right="-98" w:rightChars="-41" w:hanging="147" w:hangingChars="92"/>
              <w:rPr>
                <w:rFonts w:hint="default" w:ascii="ＭＳ ゴシック" w:hAnsi="ＭＳ ゴシック" w:eastAsia="ＭＳ ゴシック"/>
                <w:sz w:val="16"/>
              </w:rPr>
            </w:pPr>
            <w:r>
              <w:rPr>
                <w:rFonts w:hint="default" w:ascii="ＭＳ ゴシック" w:hAnsi="ＭＳ ゴシック" w:eastAsia="ＭＳ ゴシック"/>
                <w:sz w:val="16"/>
              </w:rPr>
              <w:t>(</w:t>
            </w:r>
            <w:r>
              <w:rPr>
                <w:rFonts w:hint="default" w:ascii="ＭＳ ゴシック" w:hAnsi="ＭＳ ゴシック" w:eastAsia="ＭＳ ゴシック"/>
                <w:sz w:val="16"/>
              </w:rPr>
              <w:t>ＮＰＯ、</w:t>
            </w:r>
            <w:r>
              <w:rPr>
                <w:rFonts w:hint="eastAsia" w:ascii="ＭＳ ゴシック" w:hAnsi="ＭＳ ゴシック" w:eastAsia="ＭＳ ゴシック"/>
                <w:sz w:val="16"/>
              </w:rPr>
              <w:t>シルバー</w:t>
            </w:r>
            <w:r>
              <w:rPr>
                <w:rFonts w:hint="default" w:ascii="ＭＳ ゴシック" w:hAnsi="ＭＳ ゴシック" w:eastAsia="ＭＳ ゴシック"/>
                <w:sz w:val="16"/>
              </w:rPr>
              <w:t>)</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○外出時・通院時の付き添いなどの身体介護サービス</w:t>
            </w:r>
            <w:r>
              <w:rPr>
                <w:rFonts w:hint="default" w:ascii="ＭＳ ゴシック" w:hAnsi="ＭＳ ゴシック" w:eastAsia="ＭＳ ゴシック"/>
                <w:sz w:val="16"/>
              </w:rPr>
              <w:t>(</w:t>
            </w:r>
            <w:r>
              <w:rPr>
                <w:rFonts w:hint="eastAsia" w:ascii="ＭＳ ゴシック" w:hAnsi="ＭＳ ゴシック" w:eastAsia="ＭＳ ゴシック"/>
                <w:sz w:val="16"/>
              </w:rPr>
              <w:t>ｼﾙﾊﾞｰ</w:t>
            </w:r>
            <w:r>
              <w:rPr>
                <w:rFonts w:hint="default" w:ascii="ＭＳ ゴシック" w:hAnsi="ＭＳ ゴシック" w:eastAsia="ＭＳ ゴシック"/>
                <w:sz w:val="16"/>
              </w:rPr>
              <w:t>)</w:t>
            </w:r>
          </w:p>
        </w:tc>
        <w:tc>
          <w:tcPr>
            <w:tcW w:w="1701" w:type="dxa"/>
            <w:tcBorders>
              <w:top w:val="none" w:color="auto" w:sz="0" w:space="0"/>
              <w:left w:val="single" w:color="auto" w:sz="12" w:space="0"/>
              <w:bottom w:val="none" w:color="auto" w:sz="0" w:space="0"/>
              <w:right w:val="single" w:color="auto" w:sz="12" w:space="0"/>
              <w:tl2br w:val="none" w:color="auto" w:sz="0" w:space="0"/>
              <w:tr2bl w:val="single" w:color="auto" w:sz="4" w:space="0"/>
            </w:tcBorders>
            <w:shd w:val="clear" w:color="auto" w:fill="auto"/>
            <w:vAlign w:val="top"/>
          </w:tcPr>
          <w:p>
            <w:pPr>
              <w:pStyle w:val="0"/>
              <w:spacing w:line="140" w:lineRule="exact"/>
              <w:ind w:left="-20" w:right="-40"/>
              <w:rPr>
                <w:rFonts w:hint="default" w:ascii="ＭＳ ゴシック" w:hAnsi="ＭＳ ゴシック" w:eastAsia="ＭＳ ゴシック"/>
                <w:sz w:val="12"/>
              </w:rPr>
            </w:pPr>
          </w:p>
        </w:tc>
        <w:tc>
          <w:tcPr>
            <w:tcW w:w="1701" w:type="dxa"/>
            <w:tcBorders>
              <w:top w:val="none" w:color="auto" w:sz="0" w:space="0"/>
              <w:left w:val="single" w:color="auto" w:sz="12" w:space="0"/>
              <w:bottom w:val="none" w:color="auto" w:sz="0"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○オレンジゆずるバスへの補助</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○オレンジゆずるタクシーへの補助</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○車いすの一時貸出</w:t>
            </w:r>
          </w:p>
        </w:tc>
        <w:tc>
          <w:tcPr>
            <w:tcW w:w="1560" w:type="dxa"/>
            <w:tcBorders>
              <w:top w:val="none" w:color="auto" w:sz="0" w:space="0"/>
              <w:left w:val="double" w:color="auto" w:sz="4"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○介護タクシー</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○訪問介護サービス事業所による自費の通院や買い物付き添いサービス</w:t>
            </w:r>
          </w:p>
        </w:tc>
      </w:tr>
      <w:tr>
        <w:trPr>
          <w:trHeight w:val="2330" w:hRule="atLeast"/>
        </w:trPr>
        <w:tc>
          <w:tcPr>
            <w:tcW w:w="426"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rPr>
                <w:rFonts w:hint="default"/>
              </w:rPr>
            </w:pPr>
          </w:p>
        </w:tc>
        <w:tc>
          <w:tcPr>
            <w:tcW w:w="425"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交流</w:t>
            </w:r>
          </w:p>
        </w:tc>
        <w:tc>
          <w:tcPr>
            <w:tcW w:w="992"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60" w:lineRule="exact"/>
              <w:ind w:right="-34" w:rightChars="-14"/>
              <w:jc w:val="both"/>
              <w:rPr>
                <w:rFonts w:hint="default" w:ascii="ＭＳ ゴシック" w:hAnsi="ＭＳ ゴシック" w:eastAsia="ＭＳ ゴシック"/>
                <w:sz w:val="16"/>
              </w:rPr>
            </w:pPr>
            <w:r>
              <w:rPr>
                <w:rFonts w:hint="eastAsia" w:ascii="ＭＳ ゴシック" w:hAnsi="ＭＳ ゴシック" w:eastAsia="ＭＳ ゴシック"/>
                <w:sz w:val="16"/>
              </w:rPr>
              <w:t>友人、知人など仲間づくりや社会参加など</w:t>
            </w:r>
          </w:p>
        </w:tc>
        <w:tc>
          <w:tcPr>
            <w:tcW w:w="1701" w:type="dxa"/>
            <w:tcBorders>
              <w:top w:val="none" w:color="auto" w:sz="0" w:space="0"/>
              <w:left w:val="single" w:color="auto" w:sz="12" w:space="0"/>
              <w:bottom w:val="none" w:color="auto" w:sz="0"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○広く交友関係をもつ</w:t>
            </w:r>
          </w:p>
          <w:p>
            <w:pPr>
              <w:pStyle w:val="0"/>
              <w:spacing w:before="20" w:beforeLines="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○生活支援に関する情報収集をする</w:t>
            </w:r>
          </w:p>
          <w:p>
            <w:pPr>
              <w:pStyle w:val="0"/>
              <w:spacing w:before="20" w:beforeLines="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○週に１回、地域の体操教室に通う</w:t>
            </w:r>
          </w:p>
        </w:tc>
        <w:tc>
          <w:tcPr>
            <w:tcW w:w="1701" w:type="dxa"/>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fill="auto"/>
            <w:vAlign w:val="top"/>
          </w:tcPr>
          <w:p>
            <w:pPr>
              <w:pStyle w:val="0"/>
              <w:tabs>
                <w:tab w:val="left" w:leader="none" w:pos="-31"/>
              </w:tabs>
              <w:spacing w:before="72" w:beforeLines="20" w:beforeAutospacing="0" w:line="160" w:lineRule="exact"/>
              <w:ind w:left="99" w:leftChars="-20" w:right="-98" w:rightChars="-41" w:hanging="147" w:hangingChars="92"/>
              <w:rPr>
                <w:rFonts w:hint="default" w:ascii="ＭＳ ゴシック" w:hAnsi="ＭＳ ゴシック" w:eastAsia="ＭＳ ゴシック"/>
                <w:color w:val="000000" w:themeColor="text1"/>
                <w:sz w:val="16"/>
              </w:rPr>
            </w:pPr>
            <w:r>
              <w:rPr>
                <w:rFonts w:hint="eastAsia" w:ascii="ＭＳ ゴシック" w:hAnsi="ＭＳ ゴシック" w:eastAsia="ＭＳ ゴシック"/>
                <w:sz w:val="16"/>
              </w:rPr>
              <w:t>○高齢者ふれあいいきいきサロン</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○ボランティアセンター</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○居場所づくり、地域通貨</w:t>
            </w:r>
            <w:r>
              <w:rPr>
                <w:rFonts w:hint="default" w:ascii="ＭＳ ゴシック" w:hAnsi="ＭＳ ゴシック" w:eastAsia="ＭＳ ゴシック"/>
                <w:sz w:val="16"/>
              </w:rPr>
              <w:t>(</w:t>
            </w:r>
            <w:r>
              <w:rPr>
                <w:rFonts w:hint="default" w:ascii="ＭＳ ゴシック" w:hAnsi="ＭＳ ゴシック" w:eastAsia="ＭＳ ゴシック"/>
                <w:sz w:val="16"/>
              </w:rPr>
              <w:t>ＮＰＯ</w:t>
            </w:r>
            <w:r>
              <w:rPr>
                <w:rFonts w:hint="default" w:ascii="ＭＳ ゴシック" w:hAnsi="ＭＳ ゴシック" w:eastAsia="ＭＳ ゴシック"/>
                <w:sz w:val="16"/>
              </w:rPr>
              <w:t>)</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○仕事の紹介</w:t>
            </w:r>
            <w:r>
              <w:rPr>
                <w:rFonts w:hint="default" w:ascii="ＭＳ ゴシック" w:hAnsi="ＭＳ ゴシック" w:eastAsia="ＭＳ ゴシック"/>
                <w:sz w:val="16"/>
              </w:rPr>
              <w:t>(</w:t>
            </w:r>
            <w:r>
              <w:rPr>
                <w:rFonts w:hint="eastAsia" w:ascii="ＭＳ ゴシック" w:hAnsi="ＭＳ ゴシック" w:eastAsia="ＭＳ ゴシック"/>
                <w:sz w:val="16"/>
              </w:rPr>
              <w:t>ｼﾙﾊﾞｰ</w:t>
            </w:r>
            <w:r>
              <w:rPr>
                <w:rFonts w:hint="default" w:ascii="ＭＳ ゴシック" w:hAnsi="ＭＳ ゴシック" w:eastAsia="ＭＳ ゴシック"/>
                <w:sz w:val="16"/>
              </w:rPr>
              <w:t>)</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○シニアクラブ活動</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○住民主体の介護予防自主グループ</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○コミュニティカフェ</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○ラジオ体操</w:t>
            </w:r>
          </w:p>
          <w:p>
            <w:pPr>
              <w:pStyle w:val="0"/>
              <w:tabs>
                <w:tab w:val="left" w:leader="none" w:pos="-31"/>
              </w:tabs>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○学センやコミセンなどのサークル活動</w:t>
            </w:r>
          </w:p>
        </w:tc>
        <w:tc>
          <w:tcPr>
            <w:tcW w:w="1701" w:type="dxa"/>
            <w:tcBorders>
              <w:top w:val="none" w:color="auto" w:sz="0" w:space="0"/>
              <w:left w:val="single" w:color="auto" w:sz="12" w:space="0"/>
              <w:bottom w:val="none" w:color="auto" w:sz="0" w:space="0"/>
              <w:right w:val="single" w:color="auto" w:sz="12" w:space="0"/>
              <w:tl2br w:val="none" w:color="auto" w:sz="0" w:space="0"/>
              <w:tr2bl w:val="single" w:color="auto" w:sz="4" w:space="0"/>
            </w:tcBorders>
            <w:shd w:val="clear" w:color="auto" w:fill="auto"/>
            <w:vAlign w:val="top"/>
          </w:tcPr>
          <w:p>
            <w:pPr>
              <w:pStyle w:val="0"/>
              <w:spacing w:line="140" w:lineRule="exact"/>
              <w:ind w:left="-20" w:right="-40"/>
              <w:rPr>
                <w:rFonts w:hint="default" w:ascii="ＭＳ ゴシック" w:hAnsi="ＭＳ ゴシック" w:eastAsia="ＭＳ ゴシック"/>
                <w:sz w:val="12"/>
              </w:rPr>
            </w:pPr>
          </w:p>
        </w:tc>
        <w:tc>
          <w:tcPr>
            <w:tcW w:w="1701" w:type="dxa"/>
            <w:tcBorders>
              <w:top w:val="none" w:color="auto" w:sz="0" w:space="0"/>
              <w:left w:val="single" w:color="auto" w:sz="12" w:space="0"/>
              <w:bottom w:val="none" w:color="auto" w:sz="0"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○シニア塾　</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○多世代交流センター</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○市民活動促進センター</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○シニア・ナビ</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○シニア活動応援交付金</w:t>
            </w:r>
          </w:p>
        </w:tc>
        <w:tc>
          <w:tcPr>
            <w:tcW w:w="1560" w:type="dxa"/>
            <w:tcBorders>
              <w:top w:val="none" w:color="auto" w:sz="0" w:space="0"/>
              <w:left w:val="double" w:color="auto" w:sz="4"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○フィットネスクラブ</w:t>
            </w:r>
          </w:p>
          <w:p>
            <w:pPr>
              <w:pStyle w:val="0"/>
              <w:spacing w:before="20" w:beforeLines="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○カルチャークラブ</w:t>
            </w:r>
          </w:p>
          <w:p>
            <w:pPr>
              <w:pStyle w:val="0"/>
              <w:spacing w:before="20" w:beforeLines="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○通所介護サービス事業所の自費サービス</w:t>
            </w:r>
          </w:p>
        </w:tc>
      </w:tr>
      <w:tr>
        <w:trPr>
          <w:cantSplit/>
          <w:trHeight w:val="1550" w:hRule="atLeast"/>
        </w:trPr>
        <w:tc>
          <w:tcPr>
            <w:tcW w:w="426"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rPr>
                <w:rFonts w:hint="default"/>
              </w:rPr>
            </w:pPr>
          </w:p>
        </w:tc>
        <w:tc>
          <w:tcPr>
            <w:tcW w:w="425" w:type="dxa"/>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非日常的な家事</w:t>
            </w:r>
          </w:p>
        </w:tc>
        <w:tc>
          <w:tcPr>
            <w:tcW w:w="992" w:type="dxa"/>
            <w:tcBorders>
              <w:top w:val="none" w:color="auto" w:sz="0" w:space="0"/>
              <w:left w:val="none" w:color="auto" w:sz="0" w:space="0"/>
              <w:bottom w:val="single" w:color="auto" w:sz="12"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60" w:lineRule="exact"/>
              <w:ind w:right="-34" w:rightChars="-14"/>
              <w:jc w:val="both"/>
              <w:rPr>
                <w:rFonts w:hint="default" w:ascii="ＭＳ ゴシック" w:hAnsi="ＭＳ ゴシック" w:eastAsia="ＭＳ ゴシック"/>
                <w:sz w:val="16"/>
              </w:rPr>
            </w:pPr>
            <w:r>
              <w:rPr>
                <w:rFonts w:hint="eastAsia" w:ascii="ＭＳ ゴシック" w:hAnsi="ＭＳ ゴシック" w:eastAsia="ＭＳ ゴシック"/>
                <w:sz w:val="16"/>
              </w:rPr>
              <w:t>大掃除や粗大ごみの搬出、日用品以外の家電製品の買い物など</w:t>
            </w:r>
          </w:p>
        </w:tc>
        <w:tc>
          <w:tcPr>
            <w:tcW w:w="1701" w:type="dxa"/>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○月に数千円を積み立てて、年に１回便利屋に、床磨きや換気扇掃除など普段できないことを依頼する</w:t>
            </w:r>
          </w:p>
        </w:tc>
        <w:tc>
          <w:tcPr>
            <w:tcW w:w="1701" w:type="dxa"/>
            <w:tcBorders>
              <w:top w:val="none" w:color="auto" w:sz="0" w:space="0"/>
              <w:left w:val="none" w:color="auto" w:sz="0"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○ふれあいホームサービス</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○おせち料理配食事業</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（社協）</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○気軽にサポート隊</w:t>
            </w:r>
          </w:p>
          <w:p>
            <w:pPr>
              <w:pStyle w:val="0"/>
              <w:spacing w:line="160" w:lineRule="exact"/>
              <w:ind w:left="99" w:leftChars="-20" w:right="-98" w:rightChars="-41"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w:t>
            </w:r>
            <w:r>
              <w:rPr>
                <w:rFonts w:hint="default" w:ascii="ＭＳ ゴシック" w:hAnsi="ＭＳ ゴシック" w:eastAsia="ＭＳ ゴシック"/>
                <w:sz w:val="16"/>
              </w:rPr>
              <w:t>シルバー</w:t>
            </w:r>
            <w:r>
              <w:rPr>
                <w:rFonts w:hint="eastAsia" w:ascii="ＭＳ ゴシック" w:hAnsi="ＭＳ ゴシック" w:eastAsia="ＭＳ ゴシック"/>
                <w:sz w:val="16"/>
              </w:rPr>
              <w:t>）</w:t>
            </w:r>
          </w:p>
        </w:tc>
        <w:tc>
          <w:tcPr>
            <w:tcW w:w="1701" w:type="dxa"/>
            <w:tcBorders>
              <w:top w:val="none" w:color="auto" w:sz="0" w:space="0"/>
              <w:left w:val="single" w:color="auto" w:sz="12" w:space="0"/>
              <w:bottom w:val="single" w:color="auto" w:sz="12" w:space="0"/>
              <w:right w:val="single" w:color="auto" w:sz="12" w:space="0"/>
              <w:tl2br w:val="none" w:color="auto" w:sz="0" w:space="0"/>
              <w:tr2bl w:val="single" w:color="auto" w:sz="4" w:space="0"/>
            </w:tcBorders>
            <w:shd w:val="clear" w:color="auto" w:fill="auto"/>
            <w:vAlign w:val="top"/>
          </w:tcPr>
          <w:p>
            <w:pPr>
              <w:pStyle w:val="0"/>
              <w:spacing w:line="140" w:lineRule="exact"/>
              <w:ind w:left="-20" w:right="-40"/>
              <w:rPr>
                <w:rFonts w:hint="default" w:ascii="ＭＳ ゴシック" w:hAnsi="ＭＳ ゴシック" w:eastAsia="ＭＳ ゴシック"/>
                <w:sz w:val="12"/>
              </w:rPr>
            </w:pPr>
          </w:p>
        </w:tc>
        <w:tc>
          <w:tcPr>
            <w:tcW w:w="1701" w:type="dxa"/>
            <w:tcBorders>
              <w:top w:val="none" w:color="auto" w:sz="0" w:space="0"/>
              <w:left w:val="single" w:color="auto" w:sz="12" w:space="0"/>
              <w:bottom w:val="single" w:color="auto" w:sz="12" w:space="0"/>
              <w:right w:val="double" w:color="auto" w:sz="4" w:space="0"/>
              <w:tl2br w:val="none" w:color="auto" w:sz="0" w:space="0"/>
              <w:tr2bl w:val="single" w:color="auto" w:sz="4" w:space="0"/>
            </w:tcBorders>
            <w:shd w:val="clear" w:color="auto" w:fill="auto"/>
            <w:vAlign w:val="top"/>
          </w:tcPr>
          <w:p>
            <w:pPr>
              <w:pStyle w:val="0"/>
              <w:spacing w:line="160" w:lineRule="exact"/>
              <w:ind w:left="99" w:leftChars="-20" w:right="-98" w:rightChars="-41" w:hanging="147" w:hangingChars="92"/>
              <w:rPr>
                <w:rFonts w:hint="default" w:ascii="ＭＳ ゴシック" w:hAnsi="ＭＳ ゴシック" w:eastAsia="ＭＳ ゴシック"/>
                <w:sz w:val="16"/>
              </w:rPr>
            </w:pPr>
          </w:p>
        </w:tc>
        <w:tc>
          <w:tcPr>
            <w:tcW w:w="1560" w:type="dxa"/>
            <w:tcBorders>
              <w:top w:val="none" w:color="auto" w:sz="0" w:space="0"/>
              <w:left w:val="double" w:color="auto" w:sz="4"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○便利屋サービス</w:t>
            </w:r>
          </w:p>
        </w:tc>
      </w:tr>
    </w:tbl>
    <w:p>
      <w:pPr>
        <w:rPr>
          <w:rFonts w:hint="default"/>
          <w:sz w:val="28"/>
        </w:rPr>
        <w:sectPr>
          <w:headerReference r:id="rId93" w:type="even"/>
          <w:headerReference r:id="rId94" w:type="default"/>
          <w:footerReference r:id="rId96" w:type="even"/>
          <w:footerReference r:id="rId97" w:type="default"/>
          <w:headerReference r:id="rId92" w:type="first"/>
          <w:footerReference r:id="rId95" w:type="first"/>
          <w:pgSz w:w="11906" w:h="16838"/>
          <w:pgMar w:top="1440" w:right="1077" w:bottom="851" w:left="1077" w:header="851" w:footer="454" w:gutter="0"/>
          <w:cols w:space="720"/>
          <w:textDirection w:val="lrTb"/>
          <w:docGrid w:type="lines" w:linePitch="360"/>
        </w:sectPr>
      </w:pPr>
    </w:p>
    <w:p>
      <w:pPr>
        <w:pStyle w:val="0"/>
        <w:ind w:left="811" w:hanging="811"/>
        <w:jc w:val="center"/>
        <w:rPr>
          <w:rFonts w:hint="default"/>
          <w:color w:val="FF0000"/>
          <w:sz w:val="21"/>
        </w:rPr>
      </w:pPr>
      <w:r>
        <w:rPr>
          <w:rFonts w:hint="eastAsia"/>
        </w:rPr>
        <mc:AlternateContent>
          <mc:Choice Requires="wps">
            <w:drawing>
              <wp:anchor distT="0" distB="0" distL="203200" distR="203200" simplePos="0" relativeHeight="198" behindDoc="0" locked="0" layoutInCell="1" hidden="0" allowOverlap="1">
                <wp:simplePos x="0" y="0"/>
                <wp:positionH relativeFrom="column">
                  <wp:posOffset>-472440</wp:posOffset>
                </wp:positionH>
                <wp:positionV relativeFrom="paragraph">
                  <wp:posOffset>631825</wp:posOffset>
                </wp:positionV>
                <wp:extent cx="419100" cy="1785620"/>
                <wp:effectExtent l="0" t="0" r="635" b="635"/>
                <wp:wrapNone/>
                <wp:docPr id="1236" name="オブジェクト 0"/>
                <a:graphic xmlns:a="http://schemas.openxmlformats.org/drawingml/2006/main">
                  <a:graphicData uri="http://schemas.microsoft.com/office/word/2010/wordprocessingShape">
                    <wps:wsp>
                      <wps:cNvPr id="1236" name="オブジェクト 0"/>
                      <wps:cNvSpPr/>
                      <wps:spPr>
                        <a:xfrm>
                          <a:off x="0" y="0"/>
                          <a:ext cx="419100" cy="1785620"/>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r>
                              <w:rPr>
                                <w:rFonts w:hint="eastAsia" w:ascii="ＭＳ ゴシック" w:hAnsi="ＭＳ ゴシック" w:eastAsia="ＭＳ ゴシック"/>
                                <w:color w:val="000000" w:themeColor="text1"/>
                                <w:sz w:val="18"/>
                              </w:rPr>
                              <w:t>要介護者以外の元気な高齢者</w:t>
                            </w:r>
                          </w:p>
                        </w:txbxContent>
                      </wps:txbx>
                      <wps:bodyPr vertOverflow="overflow" horzOverflow="overflow" vert="eaVert" wrap="square" anchor="ctr"/>
                    </wps:wsp>
                  </a:graphicData>
                </a:graphic>
              </wp:anchor>
            </w:drawing>
          </mc:Choice>
          <mc:Fallback>
            <w:pict>
              <v:rect id="オブジェクト 0" style="mso-wrap-distance-right:16pt;mso-wrap-distance-bottom:0pt;margin-top:49.75pt;mso-position-vertical-relative:text;mso-position-horizontal-relative:text;v-text-anchor:middle;position:absolute;height:140.6pt;mso-wrap-distance-top:0pt;width:33pt;mso-wrap-distance-left:16pt;margin-left:-37.200000000000003pt;z-index:198;" o:spid="_x0000_s1236" o:allowincell="t" o:allowoverlap="t" filled="f" stroked="f" strokecolor="#32528f" strokeweight="1pt" o:spt="1">
                <v:fill/>
                <v:stroke linestyle="single" miterlimit="8" endcap="flat" dashstyle="solid"/>
                <v:textbox style="layout-flow:vertical-ideographic;">
                  <w:txbxContent>
                    <w:p>
                      <w:pPr>
                        <w:pStyle w:val="0"/>
                        <w:jc w:val="center"/>
                        <w:rPr>
                          <w:rFonts w:hint="default"/>
                        </w:rPr>
                      </w:pPr>
                      <w:r>
                        <w:rPr>
                          <w:rFonts w:hint="eastAsia" w:ascii="ＭＳ ゴシック" w:hAnsi="ＭＳ ゴシック" w:eastAsia="ＭＳ ゴシック"/>
                          <w:color w:val="000000" w:themeColor="text1"/>
                          <w:sz w:val="18"/>
                        </w:rPr>
                        <w:t>要介護者以外の元気な高齢者</w:t>
                      </w:r>
                    </w:p>
                  </w:txbxContent>
                </v:textbox>
                <v:imagedata o:title=""/>
                <w10:wrap type="none" anchorx="text" anchory="text"/>
              </v:rect>
            </w:pict>
          </mc:Fallback>
        </mc:AlternateContent>
      </w:r>
      <w:r>
        <w:rPr>
          <w:rFonts w:hint="eastAsia" w:ascii="ＭＳ ゴシック" w:hAnsi="ＭＳ ゴシック" w:eastAsia="ＭＳ ゴシック"/>
          <w:sz w:val="21"/>
        </w:rPr>
        <w:t>図表</w:t>
      </w:r>
      <w:r>
        <w:rPr>
          <w:rFonts w:hint="eastAsia" w:ascii="ＭＳ ゴシック" w:hAnsi="ＭＳ ゴシック" w:eastAsia="ＭＳ ゴシック"/>
          <w:sz w:val="21"/>
        </w:rPr>
        <w:t>85</w:t>
      </w:r>
      <w:r>
        <w:rPr>
          <w:rFonts w:hint="eastAsia" w:ascii="ＭＳ ゴシック" w:hAnsi="ＭＳ ゴシック" w:eastAsia="ＭＳ ゴシック"/>
          <w:sz w:val="21"/>
        </w:rPr>
        <w:t>：本市の地域包括ケアシステムの全体像（現状）（続き）</w:t>
      </w:r>
    </w:p>
    <w:tbl>
      <w:tblPr>
        <w:tblStyle w:val="59"/>
        <w:tblW w:w="10207" w:type="dxa"/>
        <w:tblInd w:w="-34" w:type="dxa"/>
        <w:tblLayout w:type="fixed"/>
        <w:tblLook w:firstRow="1" w:lastRow="0" w:firstColumn="1" w:lastColumn="0" w:noHBand="0" w:noVBand="1" w:val="04A0"/>
      </w:tblPr>
      <w:tblGrid>
        <w:gridCol w:w="426"/>
        <w:gridCol w:w="1417"/>
        <w:gridCol w:w="1701"/>
        <w:gridCol w:w="1701"/>
        <w:gridCol w:w="1701"/>
        <w:gridCol w:w="1833"/>
        <w:gridCol w:w="1428"/>
      </w:tblGrid>
      <w:tr>
        <w:trPr/>
        <w:tc>
          <w:tcPr>
            <w:tcW w:w="1843" w:type="dxa"/>
            <w:gridSpan w:val="2"/>
            <w:vMerge w:val="restart"/>
            <w:tcBorders>
              <w:top w:val="single" w:color="auto" w:sz="12" w:space="0"/>
              <w:left w:val="single" w:color="auto" w:sz="12" w:space="0"/>
              <w:bottom w:val="none" w:color="auto" w:sz="0" w:space="0"/>
              <w:right w:val="single" w:color="auto" w:sz="12" w:space="0"/>
              <w:tl2br w:val="single" w:color="auto" w:sz="4" w:space="0"/>
              <w:tr2bl w:val="none" w:color="auto" w:sz="0" w:space="0"/>
            </w:tcBorders>
            <w:shd w:val="clear" w:color="auto" w:themeFill="accent5" w:themeFillTint="33" w:themeFillShade="FF"/>
            <w:vAlign w:val="top"/>
          </w:tcPr>
          <w:p>
            <w:pPr>
              <w:pStyle w:val="0"/>
              <w:shd w:val="clear" w:color="auto" w:themeFill="accent5" w:themeFillTint="33" w:themeFillShade="FF"/>
              <w:spacing w:before="36" w:beforeLines="10" w:beforeAutospacing="0" w:line="180" w:lineRule="exact"/>
              <w:ind w:right="-144" w:rightChars="-60"/>
              <w:jc w:val="right"/>
              <w:rPr>
                <w:rFonts w:hint="default" w:ascii="ＭＳ ゴシック" w:hAnsi="ＭＳ ゴシック" w:eastAsia="ＭＳ ゴシック"/>
                <w:sz w:val="18"/>
              </w:rPr>
            </w:pPr>
            <w:r>
              <w:rPr>
                <w:rFonts w:hint="eastAsia"/>
              </w:rPr>
              <mc:AlternateContent>
                <mc:Choice Requires="wps">
                  <w:drawing>
                    <wp:anchor distT="0" distB="0" distL="71755" distR="71755" simplePos="0" relativeHeight="197" behindDoc="0" locked="0" layoutInCell="1" hidden="0" allowOverlap="1">
                      <wp:simplePos x="0" y="0"/>
                      <wp:positionH relativeFrom="column">
                        <wp:posOffset>-39370</wp:posOffset>
                      </wp:positionH>
                      <wp:positionV relativeFrom="paragraph">
                        <wp:posOffset>147955</wp:posOffset>
                      </wp:positionV>
                      <wp:extent cx="546100" cy="189865"/>
                      <wp:effectExtent l="0" t="0" r="635" b="635"/>
                      <wp:wrapNone/>
                      <wp:docPr id="1237" name="オブジェクト 0"/>
                      <a:graphic xmlns:a="http://schemas.openxmlformats.org/drawingml/2006/main">
                        <a:graphicData uri="http://schemas.microsoft.com/office/word/2010/wordprocessingShape">
                          <wps:wsp>
                            <wps:cNvPr id="1237" name="オブジェクト 0"/>
                            <wps:cNvSpPr txBox="1"/>
                            <wps:spPr>
                              <a:xfrm>
                                <a:off x="0" y="0"/>
                                <a:ext cx="546100" cy="1898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rPr>
                                  </w:pPr>
                                  <w:r>
                                    <w:rPr>
                                      <w:rFonts w:hint="eastAsia" w:ascii="ＭＳ ゴシック" w:hAnsi="ＭＳ ゴシック" w:eastAsia="ＭＳ ゴシック"/>
                                      <w:sz w:val="18"/>
                                    </w:rPr>
                                    <w:t>５本柱</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65pt;mso-position-vertical-relative:text;mso-position-horizontal-relative:text;position:absolute;height:14.95pt;mso-wrap-distance-top:0pt;width:43pt;mso-wrap-distance-left:5.65pt;margin-left:-3.1pt;z-index:197;" o:spid="_x0000_s123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rPr>
                            </w:pPr>
                            <w:r>
                              <w:rPr>
                                <w:rFonts w:hint="eastAsia" w:ascii="ＭＳ ゴシック" w:hAnsi="ＭＳ ゴシック" w:eastAsia="ＭＳ ゴシック"/>
                                <w:sz w:val="18"/>
                              </w:rPr>
                              <w:t>５本柱</w:t>
                            </w:r>
                          </w:p>
                        </w:txbxContent>
                      </v:textbox>
                      <v:imagedata o:title=""/>
                      <w10:wrap type="none" anchorx="text" anchory="text"/>
                    </v:shape>
                  </w:pict>
                </mc:Fallback>
              </mc:AlternateContent>
            </w:r>
            <w:r>
              <w:rPr>
                <w:rFonts w:hint="eastAsia" w:ascii="ＭＳ ゴシック" w:hAnsi="ＭＳ ゴシック" w:eastAsia="ＭＳ ゴシック"/>
                <w:sz w:val="18"/>
              </w:rPr>
              <w:t>４つの「助」　　</w:t>
            </w:r>
          </w:p>
        </w:tc>
        <w:tc>
          <w:tcPr>
            <w:tcW w:w="1701" w:type="dxa"/>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自助</w:t>
            </w:r>
          </w:p>
        </w:tc>
        <w:tc>
          <w:tcPr>
            <w:tcW w:w="1701" w:type="dxa"/>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互助</w:t>
            </w:r>
          </w:p>
        </w:tc>
        <w:tc>
          <w:tcPr>
            <w:tcW w:w="1701"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共助</w:t>
            </w:r>
          </w:p>
        </w:tc>
        <w:tc>
          <w:tcPr>
            <w:tcW w:w="1833" w:type="dxa"/>
            <w:tcBorders>
              <w:top w:val="single" w:color="auto" w:sz="12" w:space="0"/>
              <w:left w:val="single" w:color="auto" w:sz="12" w:space="0"/>
              <w:bottom w:val="none" w:color="auto" w:sz="0" w:space="0"/>
              <w:right w:val="double" w:color="auto" w:sz="4" w:space="0"/>
              <w:tl2br w:val="none" w:color="auto" w:sz="0" w:space="0"/>
              <w:tr2bl w:val="none" w:color="auto" w:sz="0" w:space="0"/>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公助</w:t>
            </w:r>
          </w:p>
        </w:tc>
        <w:tc>
          <w:tcPr>
            <w:tcW w:w="1428" w:type="dxa"/>
            <w:tcBorders>
              <w:top w:val="single" w:color="auto" w:sz="12" w:space="0"/>
              <w:left w:val="double" w:color="auto" w:sz="4" w:space="0"/>
              <w:bottom w:val="none" w:color="auto" w:sz="0" w:space="0"/>
              <w:right w:val="single" w:color="auto" w:sz="12" w:space="0"/>
              <w:tl2br w:val="none" w:color="auto" w:sz="0" w:space="0"/>
              <w:tr2bl w:val="none" w:color="auto" w:sz="0" w:space="0"/>
            </w:tcBorders>
            <w:shd w:val="clear" w:color="auto" w:themeFill="accent1" w:themeFillTint="FF" w:themeFillShade="FF"/>
            <w:vAlign w:val="top"/>
          </w:tcPr>
          <w:p>
            <w:pPr>
              <w:pStyle w:val="0"/>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pacing w:val="0"/>
                <w:w w:val="74"/>
                <w:kern w:val="0"/>
                <w:sz w:val="18"/>
                <w:fitText w:val="1350" w:id="14"/>
              </w:rPr>
              <w:t>市場分野（民間企業</w:t>
            </w:r>
            <w:r>
              <w:rPr>
                <w:rFonts w:hint="eastAsia" w:ascii="ＭＳ ゴシック" w:hAnsi="ＭＳ ゴシック" w:eastAsia="ＭＳ ゴシック"/>
                <w:b w:val="1"/>
                <w:color w:val="FFFFFF" w:themeColor="background1"/>
                <w:spacing w:val="3"/>
                <w:w w:val="74"/>
                <w:kern w:val="0"/>
                <w:sz w:val="18"/>
                <w:fitText w:val="1350" w:id="14"/>
              </w:rPr>
              <w:t>）</w:t>
            </w:r>
          </w:p>
        </w:tc>
      </w:tr>
      <w:tr>
        <w:trPr>
          <w:trHeight w:val="150" w:hRule="atLeast"/>
        </w:trPr>
        <w:tc>
          <w:tcPr>
            <w:tcW w:w="1843" w:type="dxa"/>
            <w:gridSpan w:val="2"/>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accent5" w:themeFillTint="33" w:themeFillShade="FF"/>
            <w:vAlign w:val="top"/>
          </w:tcPr>
          <w:p>
            <w:pPr>
              <w:pStyle w:val="0"/>
              <w:spacing w:line="200" w:lineRule="exact"/>
              <w:jc w:val="center"/>
              <w:rPr>
                <w:rFonts w:hint="default" w:ascii="ＭＳ ゴシック" w:hAnsi="ＭＳ ゴシック" w:eastAsia="ＭＳ ゴシック"/>
                <w:sz w:val="18"/>
              </w:rPr>
            </w:pPr>
          </w:p>
        </w:tc>
        <w:tc>
          <w:tcPr>
            <w:tcW w:w="3402" w:type="dxa"/>
            <w:gridSpan w:val="2"/>
            <w:tcBorders>
              <w:top w:val="none" w:color="auto" w:sz="0" w:space="0"/>
              <w:left w:val="single" w:color="auto" w:sz="12" w:space="0"/>
              <w:bottom w:val="single" w:color="auto" w:sz="12" w:space="0"/>
              <w:right w:val="single" w:color="auto" w:sz="12" w:space="0"/>
              <w:tl2br w:val="none" w:color="auto" w:sz="0" w:space="0"/>
              <w:tr2bl w:val="none" w:color="auto" w:sz="0" w:space="0"/>
            </w:tcBorders>
            <w:shd w:val="clear" w:color="auto" w:themeFill="accent5" w:themeFillTint="33" w:themeFillShade="FF"/>
            <w:vAlign w:val="center"/>
          </w:tcPr>
          <w:p>
            <w:pPr>
              <w:pStyle w:val="0"/>
              <w:spacing w:before="72" w:beforeLines="20" w:beforeAutospacing="0" w:line="16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市民・家族・地域の役割</w:t>
            </w:r>
          </w:p>
        </w:tc>
        <w:tc>
          <w:tcPr>
            <w:tcW w:w="1701"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shd w:val="clear" w:color="auto" w:themeFill="accent5" w:themeFillTint="33" w:themeFillShade="FF"/>
            <w:vAlign w:val="top"/>
          </w:tcPr>
          <w:p>
            <w:pPr>
              <w:pStyle w:val="0"/>
              <w:spacing w:before="72" w:beforeLines="20" w:beforeAutospacing="0" w:line="180" w:lineRule="exact"/>
              <w:ind w:left="-70" w:leftChars="-29" w:right="-74" w:rightChars="-31"/>
              <w:jc w:val="center"/>
              <w:rPr>
                <w:rFonts w:hint="default" w:ascii="ＭＳ ゴシック" w:hAnsi="ＭＳ ゴシック" w:eastAsia="ＭＳ ゴシック"/>
                <w:sz w:val="18"/>
              </w:rPr>
            </w:pPr>
            <w:r>
              <w:rPr>
                <w:rFonts w:hint="eastAsia" w:ascii="ＭＳ ゴシック" w:hAnsi="ＭＳ ゴシック" w:eastAsia="ＭＳ ゴシック"/>
                <w:sz w:val="14"/>
              </w:rPr>
              <w:t>行政・医療関係者の役割</w:t>
            </w:r>
          </w:p>
        </w:tc>
        <w:tc>
          <w:tcPr>
            <w:tcW w:w="1833" w:type="dxa"/>
            <w:tcBorders>
              <w:top w:val="none" w:color="auto" w:sz="0" w:space="0"/>
              <w:left w:val="single" w:color="auto" w:sz="12" w:space="0"/>
              <w:bottom w:val="single" w:color="auto" w:sz="12" w:space="0"/>
              <w:right w:val="double" w:color="auto" w:sz="4" w:space="0"/>
              <w:tl2br w:val="none" w:color="auto" w:sz="0" w:space="0"/>
              <w:tr2bl w:val="none" w:color="auto" w:sz="0" w:space="0"/>
            </w:tcBorders>
            <w:shd w:val="clear" w:color="auto" w:themeFill="accent5" w:themeFillTint="33" w:themeFillShade="FF"/>
            <w:vAlign w:val="top"/>
          </w:tcPr>
          <w:p>
            <w:pPr>
              <w:pStyle w:val="0"/>
              <w:spacing w:before="72" w:beforeLines="20" w:beforeAutospacing="0" w:line="16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行政の役割</w:t>
            </w:r>
          </w:p>
        </w:tc>
        <w:tc>
          <w:tcPr>
            <w:tcW w:w="1428" w:type="dxa"/>
            <w:tcBorders>
              <w:top w:val="none" w:color="auto" w:sz="0" w:space="0"/>
              <w:left w:val="double" w:color="auto" w:sz="4" w:space="0"/>
              <w:bottom w:val="single" w:color="auto" w:sz="12" w:space="0"/>
              <w:right w:val="single" w:color="auto" w:sz="12" w:space="0"/>
              <w:tl2br w:val="none" w:color="auto" w:sz="0" w:space="0"/>
              <w:tr2bl w:val="none" w:color="auto" w:sz="0" w:space="0"/>
            </w:tcBorders>
            <w:shd w:val="clear" w:color="auto" w:themeFill="accent5" w:themeFillTint="33" w:themeFillShade="FF"/>
            <w:vAlign w:val="top"/>
          </w:tcPr>
          <w:p>
            <w:pPr>
              <w:pStyle w:val="0"/>
              <w:snapToGrid w:val="0"/>
              <w:spacing w:line="160" w:lineRule="exact"/>
              <w:rPr>
                <w:rFonts w:hint="default" w:ascii="ＭＳ ゴシック" w:hAnsi="ＭＳ ゴシック" w:eastAsia="ＭＳ ゴシック"/>
                <w:sz w:val="14"/>
              </w:rPr>
            </w:pPr>
          </w:p>
        </w:tc>
      </w:tr>
      <w:tr>
        <w:tblPrEx>
          <w:tblCellMar>
            <w:left w:w="99" w:type="dxa"/>
            <w:right w:w="99" w:type="dxa"/>
          </w:tblCellMar>
        </w:tblPrEx>
        <w:trPr>
          <w:cantSplit/>
          <w:trHeight w:val="810" w:hRule="atLeast"/>
        </w:trPr>
        <w:tc>
          <w:tcPr>
            <w:tcW w:w="426" w:type="dxa"/>
            <w:vMerge w:val="restart"/>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b w:val="1"/>
                <w:sz w:val="18"/>
              </w:rPr>
            </w:pPr>
            <w:r>
              <w:rPr>
                <w:rFonts w:hint="eastAsia" w:ascii="ＭＳ ゴシック" w:hAnsi="ＭＳ ゴシック" w:eastAsia="ＭＳ ゴシック"/>
                <w:b w:val="1"/>
                <w:color w:val="FFFFFF" w:themeColor="background1"/>
                <w:sz w:val="18"/>
              </w:rPr>
              <w:t>予防</w:t>
            </w:r>
          </w:p>
        </w:tc>
        <w:tc>
          <w:tcPr>
            <w:tcW w:w="1417"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shd w:val="clear" w:color="auto" w:themeFill="accent6" w:themeFillTint="66" w:themeFillShade="FF"/>
            <w:vAlign w:val="center"/>
          </w:tcPr>
          <w:p>
            <w:pPr>
              <w:pStyle w:val="0"/>
              <w:ind w:left="160" w:hanging="160" w:hangingChars="100"/>
              <w:jc w:val="center"/>
              <w:rPr>
                <w:rFonts w:hint="default" w:ascii="ＭＳ ゴシック" w:hAnsi="ＭＳ ゴシック" w:eastAsia="ＭＳ ゴシック"/>
                <w:sz w:val="10"/>
              </w:rPr>
            </w:pPr>
            <w:r>
              <w:rPr>
                <w:rFonts w:hint="eastAsia" w:ascii="ＭＳ ゴシック" w:hAnsi="ＭＳ ゴシック" w:eastAsia="ＭＳ ゴシック"/>
                <w:sz w:val="16"/>
              </w:rPr>
              <w:t>介護予防</w:t>
            </w:r>
          </w:p>
        </w:tc>
        <w:tc>
          <w:tcPr>
            <w:tcW w:w="1701" w:type="dxa"/>
            <w:tcBorders>
              <w:top w:val="single" w:color="auto" w:sz="12" w:space="0"/>
              <w:left w:val="single" w:color="auto" w:sz="12" w:space="0"/>
              <w:bottom w:val="single" w:color="auto" w:sz="4"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○自分の健康に注意を払い、ウォーキングなど疾病予防介護予防活動に取り組む</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○介護予防教室等を受講する</w:t>
            </w:r>
          </w:p>
        </w:tc>
        <w:tc>
          <w:tcPr>
            <w:tcW w:w="1701" w:type="dxa"/>
            <w:vMerge w:val="restart"/>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○地域ぐるみの活動の場の活性化</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○高齢者ふれあいいきいきサロン</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○ボランティアセンター</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○居場所づくり</w:t>
            </w:r>
            <w:r>
              <w:rPr>
                <w:rFonts w:hint="default" w:ascii="ＭＳ ゴシック" w:hAnsi="ＭＳ ゴシック" w:eastAsia="ＭＳ ゴシック"/>
                <w:sz w:val="16"/>
              </w:rPr>
              <w:t>(</w:t>
            </w:r>
            <w:r>
              <w:rPr>
                <w:rFonts w:hint="eastAsia" w:ascii="ＭＳ ゴシック" w:hAnsi="ＭＳ ゴシック" w:eastAsia="ＭＳ ゴシック"/>
                <w:sz w:val="16"/>
              </w:rPr>
              <w:t>NPO</w:t>
            </w:r>
            <w:r>
              <w:rPr>
                <w:rFonts w:hint="default"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○シニアクラブ活動</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○住民主体の介護予防自主グルー</w:t>
            </w:r>
            <w:r>
              <w:rPr>
                <w:rFonts w:hint="default" w:ascii="ＭＳ ゴシック" w:hAnsi="ＭＳ ゴシック" w:eastAsia="ＭＳ ゴシック"/>
                <w:sz w:val="16"/>
              </w:rPr>
              <w:t>プ</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○コミュニティカフェ</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○ラジオ体操</w:t>
            </w:r>
          </w:p>
          <w:p>
            <w:pPr>
              <w:pStyle w:val="0"/>
              <w:spacing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○学センやコミセンなどのサーク</w:t>
            </w:r>
            <w:r>
              <w:rPr>
                <w:rFonts w:hint="default" w:ascii="ＭＳ ゴシック" w:hAnsi="ＭＳ ゴシック" w:eastAsia="ＭＳ ゴシック"/>
                <w:sz w:val="16"/>
              </w:rPr>
              <w:t>ル活動</w:t>
            </w:r>
          </w:p>
        </w:tc>
        <w:tc>
          <w:tcPr>
            <w:tcW w:w="1701"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○地域支援事業（介護予防事業､体力測定､街かどデイサービス､運動指導士派遣事業など）</w:t>
            </w:r>
          </w:p>
        </w:tc>
        <w:tc>
          <w:tcPr>
            <w:tcW w:w="1833" w:type="dxa"/>
            <w:tcBorders>
              <w:top w:val="single" w:color="auto" w:sz="12" w:space="0"/>
              <w:left w:val="single" w:color="auto" w:sz="12" w:space="0"/>
              <w:bottom w:val="single" w:color="auto" w:sz="4"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○稲ふれあいセンターへの健康器具等の設置</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○総合運動場等でのスポーツ教室開催や運動器具の設置</w:t>
            </w:r>
          </w:p>
          <w:p>
            <w:pPr>
              <w:pStyle w:val="0"/>
              <w:spacing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○介護予防教室等の開催</w:t>
            </w:r>
          </w:p>
        </w:tc>
        <w:tc>
          <w:tcPr>
            <w:tcW w:w="1428" w:type="dxa"/>
            <w:tcBorders>
              <w:top w:val="single" w:color="auto" w:sz="12" w:space="0"/>
              <w:left w:val="double" w:color="auto" w:sz="4" w:space="0"/>
              <w:bottom w:val="single" w:color="auto" w:sz="4"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○フィットネスクラブ</w:t>
            </w:r>
          </w:p>
        </w:tc>
      </w:tr>
      <w:tr>
        <w:tblPrEx>
          <w:tblCellMar>
            <w:left w:w="99" w:type="dxa"/>
            <w:right w:w="99" w:type="dxa"/>
          </w:tblCellMar>
        </w:tblPrEx>
        <w:trPr>
          <w:cantSplit/>
          <w:trHeight w:val="1125" w:hRule="atLeast"/>
        </w:trPr>
        <w:tc>
          <w:tcPr>
            <w:tcW w:w="426"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p>
        </w:tc>
        <w:tc>
          <w:tcPr>
            <w:tcW w:w="1417" w:type="dxa"/>
            <w:tcBorders>
              <w:top w:val="single" w:color="auto" w:sz="4"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66" w:themeFillShade="FF"/>
            <w:vAlign w:val="center"/>
          </w:tcPr>
          <w:p>
            <w:pPr>
              <w:pStyle w:val="0"/>
              <w:ind w:left="160" w:hanging="160" w:hangingChars="100"/>
              <w:jc w:val="center"/>
              <w:rPr>
                <w:rFonts w:hint="default" w:ascii="ＭＳ ゴシック" w:hAnsi="ＭＳ ゴシック" w:eastAsia="ＭＳ ゴシック"/>
                <w:sz w:val="16"/>
              </w:rPr>
            </w:pPr>
            <w:r>
              <w:rPr>
                <w:rFonts w:hint="eastAsia" w:ascii="ＭＳ ゴシック" w:hAnsi="ＭＳ ゴシック" w:eastAsia="ＭＳ ゴシック"/>
                <w:sz w:val="16"/>
              </w:rPr>
              <w:t>保健・福祉</w:t>
            </w:r>
          </w:p>
        </w:tc>
        <w:tc>
          <w:tcPr>
            <w:tcW w:w="1701" w:type="dxa"/>
            <w:tcBorders>
              <w:top w:val="single" w:color="auto" w:sz="4" w:space="0"/>
              <w:left w:val="single" w:color="auto" w:sz="12" w:space="0"/>
              <w:bottom w:val="single" w:color="auto" w:sz="12"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○健康維持のために健診、検診を受診する</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○健康教室等を受講する</w:t>
            </w:r>
          </w:p>
        </w:tc>
        <w:tc>
          <w:tcPr>
            <w:tcW w:w="1701"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shd w:val="clear" w:color="auto" w:fill="auto"/>
            <w:vAlign w:val="top"/>
          </w:tcPr>
          <w:p>
            <w:pPr>
              <w:pStyle w:val="0"/>
              <w:spacing w:line="140" w:lineRule="exact"/>
              <w:ind w:left="120" w:right="-96" w:rightChars="-40" w:hanging="120" w:hangingChars="100"/>
              <w:rPr>
                <w:rFonts w:hint="default" w:ascii="ＭＳ ゴシック" w:hAnsi="ＭＳ ゴシック" w:eastAsia="ＭＳ ゴシック"/>
                <w:sz w:val="12"/>
              </w:rPr>
            </w:pPr>
          </w:p>
        </w:tc>
        <w:tc>
          <w:tcPr>
            <w:tcW w:w="1701" w:type="dxa"/>
            <w:tcBorders>
              <w:top w:val="single" w:color="auto" w:sz="4" w:space="0"/>
              <w:left w:val="single" w:color="auto" w:sz="12"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○医療保険者による保健事業（特定健診・特定保健指導、後期高齢者医療健診など</w:t>
            </w:r>
            <w:r>
              <w:rPr>
                <w:rFonts w:hint="eastAsia" w:ascii="ＭＳ ゴシック" w:hAnsi="ＭＳ ゴシック" w:eastAsia="ＭＳ ゴシック"/>
                <w:sz w:val="12"/>
              </w:rPr>
              <w:t>）</w:t>
            </w:r>
          </w:p>
        </w:tc>
        <w:tc>
          <w:tcPr>
            <w:tcW w:w="1833" w:type="dxa"/>
            <w:tcBorders>
              <w:top w:val="single" w:color="auto" w:sz="4" w:space="0"/>
              <w:left w:val="single" w:color="auto" w:sz="12" w:space="0"/>
              <w:bottom w:val="single" w:color="auto" w:sz="12"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○健康増進事業</w:t>
            </w:r>
            <w:r>
              <w:rPr>
                <w:rFonts w:hint="eastAsia" w:ascii="ＭＳ ゴシック" w:hAnsi="ＭＳ ゴシック" w:eastAsia="ＭＳ ゴシック"/>
                <w:sz w:val="16"/>
              </w:rPr>
              <w:t>(</w:t>
            </w:r>
            <w:r>
              <w:rPr>
                <w:rFonts w:hint="eastAsia" w:ascii="ＭＳ ゴシック" w:hAnsi="ＭＳ ゴシック" w:eastAsia="ＭＳ ゴシック"/>
                <w:sz w:val="16"/>
              </w:rPr>
              <w:t>健康診査､がん検診､健康教室､認知症予防</w:t>
            </w:r>
            <w:r>
              <w:rPr>
                <w:rFonts w:hint="eastAsia"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○地域福祉の推進のための交付金等</w:t>
            </w:r>
            <w:r>
              <w:rPr>
                <w:rFonts w:hint="default" w:ascii="ＭＳ ゴシック" w:hAnsi="ＭＳ ゴシック" w:eastAsia="ＭＳ ゴシック"/>
                <w:sz w:val="16"/>
              </w:rPr>
              <w:t>(</w:t>
            </w:r>
            <w:r>
              <w:rPr>
                <w:rFonts w:hint="default" w:ascii="ＭＳ ゴシック" w:hAnsi="ＭＳ ゴシック" w:eastAsia="ＭＳ ゴシック"/>
                <w:sz w:val="16"/>
              </w:rPr>
              <w:t>社協</w:t>
            </w:r>
            <w:r>
              <w:rPr>
                <w:rFonts w:hint="eastAsia" w:ascii="ＭＳ ゴシック" w:hAnsi="ＭＳ ゴシック" w:eastAsia="ＭＳ ゴシック"/>
                <w:sz w:val="16"/>
              </w:rPr>
              <w:t>、シニア</w:t>
            </w:r>
            <w:r>
              <w:rPr>
                <w:rFonts w:hint="default" w:ascii="ＭＳ ゴシック" w:hAnsi="ＭＳ ゴシック" w:eastAsia="ＭＳ ゴシック"/>
                <w:sz w:val="16"/>
              </w:rPr>
              <w:t>クラブ</w:t>
            </w:r>
            <w:r>
              <w:rPr>
                <w:rFonts w:hint="eastAsia" w:ascii="ＭＳ ゴシック" w:hAnsi="ＭＳ ゴシック" w:eastAsia="ＭＳ ゴシック"/>
                <w:sz w:val="16"/>
              </w:rPr>
              <w:t>､</w:t>
            </w:r>
            <w:r>
              <w:rPr>
                <w:rFonts w:hint="default" w:ascii="ＭＳ ゴシック" w:hAnsi="ＭＳ ゴシック" w:eastAsia="ＭＳ ゴシック"/>
                <w:sz w:val="16"/>
              </w:rPr>
              <w:t>高齢者自主活動への支援</w:t>
            </w:r>
            <w:r>
              <w:rPr>
                <w:rFonts w:hint="eastAsia"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○定期予防接種</w:t>
            </w:r>
          </w:p>
          <w:p>
            <w:pPr>
              <w:pStyle w:val="0"/>
              <w:spacing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○訪問理・美容サービス</w:t>
            </w:r>
          </w:p>
        </w:tc>
        <w:tc>
          <w:tcPr>
            <w:tcW w:w="1428" w:type="dxa"/>
            <w:tcBorders>
              <w:top w:val="single" w:color="auto" w:sz="4" w:space="0"/>
              <w:left w:val="double" w:color="auto" w:sz="4"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○人間ドック</w:t>
            </w:r>
          </w:p>
        </w:tc>
      </w:tr>
    </w:tbl>
    <w:p>
      <w:pPr>
        <w:pStyle w:val="0"/>
        <w:rPr>
          <w:rFonts w:hint="default"/>
        </w:rPr>
      </w:pPr>
      <w:r>
        <w:rPr>
          <w:rFonts w:hint="eastAsia"/>
        </w:rPr>
        <mc:AlternateContent>
          <mc:Choice Requires="wps">
            <w:drawing>
              <wp:anchor distT="0" distB="0" distL="114300" distR="114300" simplePos="0" relativeHeight="196" behindDoc="0" locked="0" layoutInCell="1" hidden="0" allowOverlap="1">
                <wp:simplePos x="0" y="0"/>
                <wp:positionH relativeFrom="column">
                  <wp:posOffset>-448945</wp:posOffset>
                </wp:positionH>
                <wp:positionV relativeFrom="paragraph">
                  <wp:posOffset>2865120</wp:posOffset>
                </wp:positionV>
                <wp:extent cx="394970" cy="654685"/>
                <wp:effectExtent l="0" t="0" r="635" b="635"/>
                <wp:wrapNone/>
                <wp:docPr id="1238" name="四角形 33"/>
                <a:graphic xmlns:a="http://schemas.openxmlformats.org/drawingml/2006/main">
                  <a:graphicData uri="http://schemas.microsoft.com/office/word/2010/wordprocessingShape">
                    <wps:wsp>
                      <wps:cNvPr id="1238" name="四角形 33"/>
                      <wps:cNvSpPr/>
                      <wps:spPr>
                        <a:xfrm>
                          <a:off x="0" y="0"/>
                          <a:ext cx="394970" cy="654685"/>
                        </a:xfrm>
                        <a:prstGeom prst="rect">
                          <a:avLst/>
                        </a:prstGeom>
                        <a:noFill/>
                        <a:ln w="3175"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6"/>
                              <w:spacing w:before="0" w:beforeLines="0" w:beforeAutospacing="0" w:after="0" w:afterLines="0" w:afterAutospacing="0"/>
                              <w:rPr>
                                <w:rFonts w:hint="default" w:ascii="ＭＳ ゴシック" w:hAnsi="ＭＳ ゴシック" w:eastAsia="ＭＳ ゴシック"/>
                                <w:sz w:val="18"/>
                              </w:rPr>
                            </w:pPr>
                            <w:r>
                              <w:rPr>
                                <w:rFonts w:hint="eastAsia" w:ascii="ＭＳ ゴシック" w:hAnsi="ＭＳ ゴシック" w:eastAsia="ＭＳ ゴシック"/>
                                <w:color w:val="000000" w:themeColor="text1"/>
                                <w:sz w:val="18"/>
                              </w:rPr>
                              <w:t>要介護者</w:t>
                            </w:r>
                          </w:p>
                        </w:txbxContent>
                      </wps:txbx>
                      <wps:bodyPr vertOverflow="clip" horzOverflow="clip" vert="eaVert" wrap="square"/>
                    </wps:wsp>
                  </a:graphicData>
                </a:graphic>
              </wp:anchor>
            </w:drawing>
          </mc:Choice>
          <mc:Fallback>
            <w:pict>
              <v:rect id="四角形 33" style="mso-wrap-distance-right:9pt;mso-wrap-distance-bottom:0pt;margin-top:225.6pt;mso-position-vertical-relative:text;mso-position-horizontal-relative:text;position:absolute;height:51.55pt;mso-wrap-distance-top:0pt;width:31.1pt;mso-wrap-distance-left:9pt;margin-left:-35.35pt;z-index:196;" o:spid="_x0000_s1238" o:allowincell="t" o:allowoverlap="t" filled="f" stroked="f" strokecolor="#32528f" strokeweight="0.25pt" o:spt="1">
                <v:fill/>
                <v:stroke linestyle="single" miterlimit="8" endcap="flat" dashstyle="solid"/>
                <v:textbox style="layout-flow:vertical-ideographic;">
                  <w:txbxContent>
                    <w:p>
                      <w:pPr>
                        <w:pStyle w:val="46"/>
                        <w:spacing w:before="0" w:beforeLines="0" w:beforeAutospacing="0" w:after="0" w:afterLines="0" w:afterAutospacing="0"/>
                        <w:rPr>
                          <w:rFonts w:hint="default" w:ascii="ＭＳ ゴシック" w:hAnsi="ＭＳ ゴシック" w:eastAsia="ＭＳ ゴシック"/>
                          <w:sz w:val="18"/>
                        </w:rPr>
                      </w:pPr>
                      <w:r>
                        <w:rPr>
                          <w:rFonts w:hint="eastAsia" w:ascii="ＭＳ ゴシック" w:hAnsi="ＭＳ ゴシック" w:eastAsia="ＭＳ ゴシック"/>
                          <w:color w:val="000000" w:themeColor="text1"/>
                          <w:sz w:val="18"/>
                        </w:rPr>
                        <w:t>要介護者</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93" behindDoc="0" locked="0" layoutInCell="1" hidden="0" allowOverlap="1">
                <wp:simplePos x="0" y="0"/>
                <wp:positionH relativeFrom="column">
                  <wp:posOffset>-392430</wp:posOffset>
                </wp:positionH>
                <wp:positionV relativeFrom="paragraph">
                  <wp:posOffset>280670</wp:posOffset>
                </wp:positionV>
                <wp:extent cx="257810" cy="2038350"/>
                <wp:effectExtent l="0" t="0" r="635" b="635"/>
                <wp:wrapNone/>
                <wp:docPr id="1239" name="正方形/長方形 45"/>
                <a:graphic xmlns:a="http://schemas.openxmlformats.org/drawingml/2006/main">
                  <a:graphicData uri="http://schemas.microsoft.com/office/word/2010/wordprocessingShape">
                    <wps:wsp>
                      <wps:cNvPr id="1239" name="正方形/長方形 45"/>
                      <wps:cNvSpPr/>
                      <wps:spPr>
                        <a:xfrm>
                          <a:off x="0" y="0"/>
                          <a:ext cx="257810" cy="203835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shd w:val="clear" w:color="auto" w:themeFill="accent2" w:themeFillTint="33" w:themeFillShade="FF"/>
                              </w:rPr>
                            </w:pPr>
                          </w:p>
                        </w:txbxContent>
                      </wps:txbx>
                      <wps:bodyPr rot="0" vertOverflow="overflow" horzOverflow="overflow" vert="eaVert" wrap="square" numCol="1" spcCol="0" rtlCol="0" fromWordArt="0" anchor="ctr" anchorCtr="0" forceAA="0" compatLnSpc="1"/>
                    </wps:wsp>
                  </a:graphicData>
                </a:graphic>
              </wp:anchor>
            </w:drawing>
          </mc:Choice>
          <mc:Fallback>
            <w:pict>
              <v:rect id="正方形/長方形 45" style="mso-wrap-distance-right:9pt;mso-wrap-distance-bottom:0pt;margin-top:22.1pt;mso-position-vertical-relative:text;mso-position-horizontal-relative:text;v-text-anchor:middle;position:absolute;height:160.5pt;mso-wrap-distance-top:0pt;width:20.3pt;mso-wrap-distance-left:9pt;margin-left:-30.9pt;z-index:193;" o:spid="_x0000_s1239" o:allowincell="t" o:allowoverlap="t" filled="t" fillcolor="#f8cbad [1301]" stroked="f" strokecolor="#32528f" strokeweight="1pt" o:spt="1">
                <v:fill/>
                <v:stroke linestyle="single" miterlimit="8" endcap="flat" dashstyle="solid"/>
                <v:textbox style="layout-flow:vertical-ideographic;">
                  <w:txbxContent>
                    <w:p>
                      <w:pPr>
                        <w:pStyle w:val="0"/>
                        <w:jc w:val="center"/>
                        <w:rPr>
                          <w:rFonts w:hint="default"/>
                          <w:shd w:val="clear" w:color="auto" w:themeFill="accent2" w:themeFillTint="33" w:themeFillShade="FF"/>
                        </w:rPr>
                      </w:pP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95" behindDoc="0" locked="0" layoutInCell="1" hidden="0" allowOverlap="1">
                <wp:simplePos x="0" y="0"/>
                <wp:positionH relativeFrom="column">
                  <wp:posOffset>-453390</wp:posOffset>
                </wp:positionH>
                <wp:positionV relativeFrom="paragraph">
                  <wp:posOffset>1022985</wp:posOffset>
                </wp:positionV>
                <wp:extent cx="394970" cy="649605"/>
                <wp:effectExtent l="0" t="0" r="635" b="635"/>
                <wp:wrapNone/>
                <wp:docPr id="1240" name="四角形 33"/>
                <a:graphic xmlns:a="http://schemas.openxmlformats.org/drawingml/2006/main">
                  <a:graphicData uri="http://schemas.microsoft.com/office/word/2010/wordprocessingShape">
                    <wps:wsp>
                      <wps:cNvPr id="1240" name="四角形 33"/>
                      <wps:cNvSpPr/>
                      <wps:spPr>
                        <a:xfrm>
                          <a:off x="0" y="0"/>
                          <a:ext cx="394970" cy="649605"/>
                        </a:xfrm>
                        <a:prstGeom prst="rect">
                          <a:avLst/>
                        </a:prstGeom>
                        <a:noFill/>
                        <a:ln w="3175"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6"/>
                              <w:spacing w:before="0" w:beforeLines="0" w:beforeAutospacing="0" w:after="0" w:afterLines="0" w:afterAutospacing="0"/>
                              <w:rPr>
                                <w:rFonts w:hint="default" w:ascii="ＭＳ ゴシック" w:hAnsi="ＭＳ ゴシック" w:eastAsia="ＭＳ ゴシック"/>
                                <w:sz w:val="16"/>
                              </w:rPr>
                            </w:pPr>
                            <w:r>
                              <w:rPr>
                                <w:rFonts w:hint="eastAsia" w:ascii="ＭＳ ゴシック" w:hAnsi="ＭＳ ゴシック" w:eastAsia="ＭＳ ゴシック"/>
                                <w:color w:val="000000" w:themeColor="text1"/>
                                <w:sz w:val="18"/>
                              </w:rPr>
                              <w:t>被保険者</w:t>
                            </w:r>
                          </w:p>
                        </w:txbxContent>
                      </wps:txbx>
                      <wps:bodyPr vertOverflow="clip" horzOverflow="clip" vert="eaVert" wrap="square"/>
                    </wps:wsp>
                  </a:graphicData>
                </a:graphic>
              </wp:anchor>
            </w:drawing>
          </mc:Choice>
          <mc:Fallback>
            <w:pict>
              <v:rect id="四角形 33" style="mso-wrap-distance-right:9pt;mso-wrap-distance-bottom:0pt;margin-top:80.55pt;mso-position-vertical-relative:text;mso-position-horizontal-relative:text;position:absolute;height:51.15pt;mso-wrap-distance-top:0pt;width:31.1pt;mso-wrap-distance-left:9pt;margin-left:-35.700000000000003pt;z-index:195;" o:spid="_x0000_s1240" o:allowincell="t" o:allowoverlap="t" filled="f" stroked="f" strokecolor="#32528f" strokeweight="0.25pt" o:spt="1">
                <v:fill/>
                <v:stroke linestyle="single" miterlimit="8" endcap="flat" dashstyle="solid"/>
                <v:textbox style="layout-flow:vertical-ideographic;">
                  <w:txbxContent>
                    <w:p>
                      <w:pPr>
                        <w:pStyle w:val="46"/>
                        <w:spacing w:before="0" w:beforeLines="0" w:beforeAutospacing="0" w:after="0" w:afterLines="0" w:afterAutospacing="0"/>
                        <w:rPr>
                          <w:rFonts w:hint="default" w:ascii="ＭＳ ゴシック" w:hAnsi="ＭＳ ゴシック" w:eastAsia="ＭＳ ゴシック"/>
                          <w:sz w:val="16"/>
                        </w:rPr>
                      </w:pPr>
                      <w:r>
                        <w:rPr>
                          <w:rFonts w:hint="eastAsia" w:ascii="ＭＳ ゴシック" w:hAnsi="ＭＳ ゴシック" w:eastAsia="ＭＳ ゴシック"/>
                          <w:color w:val="000000" w:themeColor="text1"/>
                          <w:sz w:val="18"/>
                        </w:rPr>
                        <w:t>被保険者</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90" behindDoc="0" locked="0" layoutInCell="1" hidden="0" allowOverlap="1">
                <wp:simplePos x="0" y="0"/>
                <wp:positionH relativeFrom="column">
                  <wp:posOffset>-404495</wp:posOffset>
                </wp:positionH>
                <wp:positionV relativeFrom="paragraph">
                  <wp:posOffset>-1630045</wp:posOffset>
                </wp:positionV>
                <wp:extent cx="268605" cy="1616075"/>
                <wp:effectExtent l="0" t="0" r="635" b="635"/>
                <wp:wrapNone/>
                <wp:docPr id="1241" name="正方形/長方形 34"/>
                <a:graphic xmlns:a="http://schemas.openxmlformats.org/drawingml/2006/main">
                  <a:graphicData uri="http://schemas.microsoft.com/office/word/2010/wordprocessingShape">
                    <wps:wsp>
                      <wps:cNvPr id="1241" name="正方形/長方形 34"/>
                      <wps:cNvSpPr/>
                      <wps:spPr>
                        <a:xfrm>
                          <a:off x="0" y="0"/>
                          <a:ext cx="268605" cy="16160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shd w:val="clear" w:color="auto" w:themeFill="accent2" w:themeFillTint="33" w:themeFillShade="FF"/>
                              </w:rPr>
                            </w:pPr>
                          </w:p>
                        </w:txbxContent>
                      </wps:txbx>
                      <wps:bodyPr rot="0" vertOverflow="overflow" horzOverflow="overflow" vert="eaVert" wrap="square" numCol="1" spcCol="0" rtlCol="0" fromWordArt="0" anchor="ctr" anchorCtr="0" forceAA="0" compatLnSpc="1"/>
                    </wps:wsp>
                  </a:graphicData>
                </a:graphic>
              </wp:anchor>
            </w:drawing>
          </mc:Choice>
          <mc:Fallback>
            <w:pict>
              <v:rect id="正方形/長方形 34" style="mso-wrap-distance-right:9pt;mso-wrap-distance-bottom:0pt;margin-top:-128.35pt;mso-position-vertical-relative:text;mso-position-horizontal-relative:text;v-text-anchor:middle;position:absolute;height:127.25pt;mso-wrap-distance-top:0pt;width:21.15pt;mso-wrap-distance-left:9pt;margin-left:-31.85pt;z-index:190;" o:spid="_x0000_s1241" o:allowincell="t" o:allowoverlap="t" filled="t" fillcolor="#f8cbad [1301]" stroked="f" strokecolor="#32528f" strokeweight="1pt" o:spt="1">
                <v:fill/>
                <v:stroke linestyle="single" miterlimit="8" endcap="flat" dashstyle="solid"/>
                <v:textbox style="layout-flow:vertical-ideographic;">
                  <w:txbxContent>
                    <w:p>
                      <w:pPr>
                        <w:pStyle w:val="0"/>
                        <w:jc w:val="center"/>
                        <w:rPr>
                          <w:rFonts w:hint="default"/>
                          <w:shd w:val="clear" w:color="auto" w:themeFill="accent2" w:themeFillTint="33" w:themeFillShade="FF"/>
                        </w:rPr>
                      </w:pPr>
                    </w:p>
                  </w:txbxContent>
                </v:textbox>
                <v:imagedata o:title=""/>
                <w10:wrap type="none" anchorx="text" anchory="text"/>
              </v:rect>
            </w:pict>
          </mc:Fallback>
        </mc:AlternateContent>
      </w:r>
    </w:p>
    <w:tbl>
      <w:tblPr>
        <w:tblStyle w:val="59"/>
        <w:tblW w:w="10207" w:type="dxa"/>
        <w:tblInd w:w="-34" w:type="dxa"/>
        <w:tblLayout w:type="fixed"/>
        <w:tblCellMar>
          <w:left w:w="99" w:type="dxa"/>
          <w:right w:w="99" w:type="dxa"/>
        </w:tblCellMar>
        <w:tblLook w:firstRow="1" w:lastRow="0" w:firstColumn="1" w:lastColumn="0" w:noHBand="0" w:noVBand="1" w:val="04A0"/>
      </w:tblPr>
      <w:tblGrid>
        <w:gridCol w:w="426"/>
        <w:gridCol w:w="425"/>
        <w:gridCol w:w="992"/>
        <w:gridCol w:w="1701"/>
        <w:gridCol w:w="1701"/>
        <w:gridCol w:w="1701"/>
        <w:gridCol w:w="1833"/>
        <w:gridCol w:w="1428"/>
      </w:tblGrid>
      <w:tr>
        <w:trPr>
          <w:cantSplit/>
          <w:trHeight w:val="1013" w:hRule="atLeast"/>
        </w:trPr>
        <w:tc>
          <w:tcPr>
            <w:tcW w:w="426" w:type="dxa"/>
            <w:vMerge w:val="restart"/>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医療</w:t>
            </w:r>
          </w:p>
        </w:tc>
        <w:tc>
          <w:tcPr>
            <w:tcW w:w="425"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r>
              <w:rPr>
                <w:rFonts w:hint="eastAsia" w:ascii="ＭＳ ゴシック" w:hAnsi="ＭＳ ゴシック" w:eastAsia="ＭＳ ゴシック"/>
                <w:sz w:val="18"/>
              </w:rPr>
              <w:t>医療・看護</w:t>
            </w:r>
          </w:p>
        </w:tc>
        <w:tc>
          <w:tcPr>
            <w:tcW w:w="992" w:type="dxa"/>
            <w:tcBorders>
              <w:top w:val="single" w:color="auto" w:sz="12" w:space="0"/>
              <w:left w:val="none" w:color="auto" w:sz="0" w:space="0"/>
              <w:bottom w:val="dotted" w:color="auto" w:sz="4"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40" w:lineRule="exact"/>
              <w:ind w:left="160" w:hanging="160" w:hangingChars="100"/>
              <w:jc w:val="center"/>
              <w:rPr>
                <w:rFonts w:hint="default" w:ascii="ＭＳ ゴシック" w:hAnsi="ＭＳ ゴシック" w:eastAsia="ＭＳ ゴシック"/>
                <w:sz w:val="10"/>
              </w:rPr>
            </w:pPr>
            <w:r>
              <w:rPr>
                <w:rFonts w:hint="eastAsia" w:ascii="ＭＳ ゴシック" w:hAnsi="ＭＳ ゴシック" w:eastAsia="ＭＳ ゴシック"/>
                <w:sz w:val="16"/>
              </w:rPr>
              <w:t>外来･入院</w:t>
            </w:r>
          </w:p>
        </w:tc>
        <w:tc>
          <w:tcPr>
            <w:tcW w:w="1701"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○病気の恐れがある際には早期に受診する</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○定期受診、内服薬は自己中断しない</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○かかりつけ医、かかりつけ歯科医、かかりつけ薬局を持つ</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○元気な間に、自分の最期について考えておく</w:t>
            </w:r>
          </w:p>
        </w:tc>
        <w:tc>
          <w:tcPr>
            <w:tcW w:w="1701" w:type="dxa"/>
            <w:tcBorders>
              <w:top w:val="single" w:color="auto" w:sz="12" w:space="0"/>
              <w:left w:val="none" w:color="auto" w:sz="0" w:space="0"/>
              <w:bottom w:val="dotted" w:color="auto" w:sz="4"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○がんサロン</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○患者会</w:t>
            </w:r>
          </w:p>
        </w:tc>
        <w:tc>
          <w:tcPr>
            <w:tcW w:w="1701" w:type="dxa"/>
            <w:vMerge w:val="restart"/>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100" w:leftChars="-20" w:right="-96" w:rightChars="-40" w:hanging="148" w:hangingChars="92"/>
              <w:rPr>
                <w:rFonts w:hint="default" w:ascii="ＭＳ ゴシック" w:hAnsi="ＭＳ ゴシック" w:eastAsia="ＭＳ ゴシック"/>
                <w:b w:val="1"/>
                <w:sz w:val="16"/>
              </w:rPr>
            </w:pPr>
            <w:r>
              <w:rPr>
                <w:rFonts w:hint="eastAsia" w:ascii="ＭＳ ゴシック" w:hAnsi="ＭＳ ゴシック" w:eastAsia="ＭＳ ゴシック"/>
                <w:b w:val="1"/>
                <w:sz w:val="16"/>
              </w:rPr>
              <w:t>医療保険</w:t>
            </w:r>
          </w:p>
          <w:p>
            <w:pPr>
              <w:pStyle w:val="0"/>
              <w:spacing w:line="160" w:lineRule="exact"/>
              <w:ind w:left="99" w:leftChars="-20" w:right="-96" w:rightChars="-40" w:hanging="147" w:hangingChars="92"/>
              <w:rPr>
                <w:rFonts w:hint="default" w:ascii="ＭＳ ゴシック" w:hAnsi="ＭＳ ゴシック" w:eastAsia="ＭＳ ゴシック"/>
                <w:b w:val="1"/>
                <w:sz w:val="16"/>
              </w:rPr>
            </w:pPr>
            <w:r>
              <w:rPr>
                <w:rFonts w:hint="eastAsia" w:ascii="ＭＳ ゴシック" w:hAnsi="ＭＳ ゴシック" w:eastAsia="ＭＳ ゴシック"/>
                <w:sz w:val="16"/>
              </w:rPr>
              <w:t>○一次､二次､三次救急</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○急性期、回復期、慢性期医療</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○病診連携強化</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○在宅医療の充実</w:t>
            </w:r>
          </w:p>
          <w:p>
            <w:pPr>
              <w:pStyle w:val="0"/>
              <w:spacing w:line="160" w:lineRule="exact"/>
              <w:ind w:left="-48" w:leftChars="-20" w:right="-96" w:rightChars="-40" w:firstLine="160" w:firstLineChars="100"/>
              <w:rPr>
                <w:rFonts w:hint="default" w:ascii="ＭＳ ゴシック" w:hAnsi="ＭＳ ゴシック" w:eastAsia="ＭＳ ゴシック"/>
                <w:sz w:val="16"/>
              </w:rPr>
            </w:pPr>
            <w:r>
              <w:rPr>
                <w:rFonts w:hint="eastAsia" w:ascii="ＭＳ ゴシック" w:hAnsi="ＭＳ ゴシック" w:eastAsia="ＭＳ ゴシック"/>
                <w:sz w:val="16"/>
              </w:rPr>
              <w:t>在宅療養支援病院</w:t>
            </w:r>
          </w:p>
          <w:p>
            <w:pPr>
              <w:pStyle w:val="0"/>
              <w:spacing w:line="160" w:lineRule="exact"/>
              <w:ind w:left="-48" w:leftChars="-20" w:right="-96" w:rightChars="-40" w:firstLine="160" w:firstLineChars="100"/>
              <w:rPr>
                <w:rFonts w:hint="default" w:ascii="ＭＳ ゴシック" w:hAnsi="ＭＳ ゴシック" w:eastAsia="ＭＳ ゴシック"/>
                <w:sz w:val="16"/>
              </w:rPr>
            </w:pPr>
            <w:r>
              <w:rPr>
                <w:rFonts w:hint="default" w:ascii="ＭＳ ゴシック" w:hAnsi="ＭＳ ゴシック" w:eastAsia="ＭＳ ゴシック"/>
                <w:sz w:val="16"/>
              </w:rPr>
              <w:t>１か所</w:t>
            </w:r>
          </w:p>
          <w:p>
            <w:pPr>
              <w:pStyle w:val="0"/>
              <w:spacing w:line="160" w:lineRule="exact"/>
              <w:ind w:left="112" w:leftChars="-20" w:right="-96" w:rightChars="-40" w:hanging="160" w:hangingChars="100"/>
              <w:rPr>
                <w:rFonts w:hint="default" w:ascii="ＭＳ ゴシック" w:hAnsi="ＭＳ ゴシック" w:eastAsia="ＭＳ ゴシック"/>
                <w:sz w:val="16"/>
              </w:rPr>
            </w:pPr>
            <w:r>
              <w:rPr>
                <w:rFonts w:hint="eastAsia" w:ascii="ＭＳ ゴシック" w:hAnsi="ＭＳ ゴシック" w:eastAsia="ＭＳ ゴシック"/>
                <w:sz w:val="16"/>
              </w:rPr>
              <w:t>　在宅療養支援診療所</w:t>
            </w:r>
            <w:r>
              <w:rPr>
                <w:rFonts w:hint="eastAsia" w:ascii="ＭＳ ゴシック" w:hAnsi="ＭＳ ゴシック" w:eastAsia="ＭＳ ゴシック"/>
                <w:sz w:val="16"/>
              </w:rPr>
              <w:t xml:space="preserve"> 26</w:t>
            </w:r>
            <w:r>
              <w:rPr>
                <w:rFonts w:hint="default" w:ascii="ＭＳ ゴシック" w:hAnsi="ＭＳ ゴシック" w:eastAsia="ＭＳ ゴシック"/>
                <w:sz w:val="16"/>
              </w:rPr>
              <w:t>か所</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○訪問看護</w:t>
            </w:r>
            <w:r>
              <w:rPr>
                <w:rFonts w:hint="eastAsia" w:ascii="ＭＳ ゴシック" w:hAnsi="ＭＳ ゴシック" w:eastAsia="ＭＳ ゴシック"/>
                <w:sz w:val="14"/>
              </w:rPr>
              <w:t>ステーション</w:t>
            </w:r>
          </w:p>
          <w:p>
            <w:pPr>
              <w:pStyle w:val="0"/>
              <w:spacing w:line="160" w:lineRule="exact"/>
              <w:ind w:left="99" w:leftChars="-20" w:right="-96" w:rightChars="-40" w:hanging="147" w:hangingChars="92"/>
              <w:rPr>
                <w:rFonts w:hint="default" w:ascii="ＭＳ ゴシック" w:hAnsi="ＭＳ ゴシック" w:eastAsia="ＭＳ ゴシック"/>
                <w:sz w:val="10"/>
              </w:rPr>
            </w:pPr>
            <w:r>
              <w:rPr>
                <w:rFonts w:hint="eastAsia" w:ascii="ＭＳ ゴシック" w:hAnsi="ＭＳ ゴシック" w:eastAsia="ＭＳ ゴシック"/>
                <w:sz w:val="16"/>
              </w:rPr>
              <w:t>　</w:t>
            </w:r>
            <w:r>
              <w:rPr>
                <w:rFonts w:hint="default" w:ascii="ＭＳ ゴシック" w:hAnsi="ＭＳ ゴシック" w:eastAsia="ＭＳ ゴシック"/>
                <w:sz w:val="16"/>
              </w:rPr>
              <w:t>24</w:t>
            </w:r>
            <w:r>
              <w:rPr>
                <w:rFonts w:hint="default" w:ascii="ＭＳ ゴシック" w:hAnsi="ＭＳ ゴシック" w:eastAsia="ＭＳ ゴシック"/>
                <w:sz w:val="16"/>
              </w:rPr>
              <w:t>時間</w:t>
            </w:r>
            <w:r>
              <w:rPr>
                <w:rFonts w:hint="eastAsia" w:ascii="ＭＳ ゴシック" w:hAnsi="ＭＳ ゴシック" w:eastAsia="ＭＳ ゴシック"/>
                <w:sz w:val="16"/>
              </w:rPr>
              <w:t>､</w:t>
            </w:r>
            <w:r>
              <w:rPr>
                <w:rFonts w:hint="default" w:ascii="ＭＳ ゴシック" w:hAnsi="ＭＳ ゴシック" w:eastAsia="ＭＳ ゴシック"/>
                <w:sz w:val="16"/>
              </w:rPr>
              <w:t>365</w:t>
            </w:r>
            <w:r>
              <w:rPr>
                <w:rFonts w:hint="default" w:ascii="ＭＳ ゴシック" w:hAnsi="ＭＳ ゴシック" w:eastAsia="ＭＳ ゴシック"/>
                <w:sz w:val="16"/>
              </w:rPr>
              <w:t>日稼働　</w:t>
            </w:r>
            <w:r>
              <w:rPr>
                <w:rFonts w:hint="eastAsia"/>
              </w:rPr>
              <mc:AlternateContent>
                <mc:Choice Requires="wps">
                  <w:drawing>
                    <wp:anchor distT="0" distB="0" distL="114300" distR="114300" simplePos="0" relativeHeight="191" behindDoc="0" locked="0" layoutInCell="1" hidden="0" allowOverlap="1">
                      <wp:simplePos x="0" y="0"/>
                      <wp:positionH relativeFrom="column">
                        <wp:posOffset>304800</wp:posOffset>
                      </wp:positionH>
                      <wp:positionV relativeFrom="paragraph">
                        <wp:posOffset>849630</wp:posOffset>
                      </wp:positionV>
                      <wp:extent cx="1518920" cy="216535"/>
                      <wp:effectExtent l="635" t="635" r="29845" b="10795"/>
                      <wp:wrapNone/>
                      <wp:docPr id="1242" name="四角形 11"/>
                      <a:graphic xmlns:a="http://schemas.openxmlformats.org/drawingml/2006/main">
                        <a:graphicData uri="http://schemas.microsoft.com/office/word/2010/wordprocessingShape">
                          <wps:wsp>
                            <wps:cNvPr id="1242" name="四角形 11"/>
                            <wps:cNvSpPr/>
                            <wps:spPr>
                              <a:xfrm>
                                <a:off x="0" y="0"/>
                                <a:ext cx="1518920" cy="216535"/>
                              </a:xfrm>
                              <a:prstGeom prst="rect">
                                <a:avLst/>
                              </a:prstGeom>
                              <a:solidFill>
                                <a:srgbClr val="7030A0"/>
                              </a:solidFill>
                              <a:ln w="3175" cap="flat" cmpd="sng" algn="ctr">
                                <a:solidFill>
                                  <a:srgbClr val="7030A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6"/>
                                    <w:spacing w:before="0" w:beforeLines="0" w:beforeAutospacing="0" w:after="0" w:afterLines="0" w:afterAutospacing="0"/>
                                    <w:jc w:val="center"/>
                                    <w:rPr>
                                      <w:rFonts w:hint="default" w:ascii="ＭＳ ゴシック" w:hAnsi="ＭＳ ゴシック" w:eastAsia="ＭＳ ゴシック"/>
                                      <w:sz w:val="6"/>
                                    </w:rPr>
                                  </w:pPr>
                                </w:p>
                              </w:txbxContent>
                            </wps:txbx>
                            <wps:bodyPr vertOverflow="clip" horzOverflow="clip" wrap="square"/>
                          </wps:wsp>
                        </a:graphicData>
                      </a:graphic>
                    </wp:anchor>
                  </w:drawing>
                </mc:Choice>
                <mc:Fallback>
                  <w:pict>
                    <v:rect id="四角形 11" style="mso-wrap-distance-right:9pt;mso-wrap-distance-bottom:0pt;margin-top:66.900000000000006pt;mso-position-vertical-relative:text;mso-position-horizontal-relative:text;position:absolute;height:17.05pt;mso-wrap-distance-top:0pt;width:119.6pt;mso-wrap-distance-left:9pt;margin-left:24pt;z-index:191;" o:spid="_x0000_s1242" o:allowincell="t" o:allowoverlap="t" filled="t" fillcolor="#7030a0" stroked="t" strokecolor="#7030a0" strokeweight="0.25pt" o:spt="1">
                      <v:fill/>
                      <v:stroke linestyle="single" miterlimit="8" endcap="flat" dashstyle="solid" filltype="solid"/>
                      <v:textbox style="layout-flow:horizontal;">
                        <w:txbxContent>
                          <w:p>
                            <w:pPr>
                              <w:pStyle w:val="46"/>
                              <w:spacing w:before="0" w:beforeLines="0" w:beforeAutospacing="0" w:after="0" w:afterLines="0" w:afterAutospacing="0"/>
                              <w:jc w:val="center"/>
                              <w:rPr>
                                <w:rFonts w:hint="default" w:ascii="ＭＳ ゴシック" w:hAnsi="ＭＳ ゴシック" w:eastAsia="ＭＳ ゴシック"/>
                                <w:sz w:val="6"/>
                              </w:rPr>
                            </w:pP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92" behindDoc="0" locked="0" layoutInCell="1" hidden="0" allowOverlap="1">
                      <wp:simplePos x="0" y="0"/>
                      <wp:positionH relativeFrom="column">
                        <wp:posOffset>433705</wp:posOffset>
                      </wp:positionH>
                      <wp:positionV relativeFrom="paragraph">
                        <wp:posOffset>796290</wp:posOffset>
                      </wp:positionV>
                      <wp:extent cx="1209675" cy="299720"/>
                      <wp:effectExtent l="0" t="0" r="635" b="635"/>
                      <wp:wrapNone/>
                      <wp:docPr id="1243" name="四角形 11"/>
                      <a:graphic xmlns:a="http://schemas.openxmlformats.org/drawingml/2006/main">
                        <a:graphicData uri="http://schemas.microsoft.com/office/word/2010/wordprocessingShape">
                          <wps:wsp>
                            <wps:cNvPr id="1243" name="四角形 11"/>
                            <wps:cNvSpPr/>
                            <wps:spPr>
                              <a:xfrm>
                                <a:off x="0" y="0"/>
                                <a:ext cx="1209675" cy="299720"/>
                              </a:xfrm>
                              <a:prstGeom prst="rect">
                                <a:avLst/>
                              </a:prstGeom>
                              <a:noFill/>
                              <a:ln w="3175"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46"/>
                                    <w:spacing w:before="0" w:beforeLines="0" w:beforeAutospacing="0" w:after="0" w:afterLines="0" w:afterAutospacing="0"/>
                                    <w:jc w:val="center"/>
                                    <w:rPr>
                                      <w:rFonts w:hint="default" w:ascii="ＭＳ ゴシック" w:hAnsi="ＭＳ ゴシック" w:eastAsia="ＭＳ ゴシック"/>
                                      <w:sz w:val="22"/>
                                    </w:rPr>
                                  </w:pPr>
                                  <w:r>
                                    <w:rPr>
                                      <w:rFonts w:hint="eastAsia" w:ascii="ＭＳ ゴシック" w:hAnsi="ＭＳ ゴシック" w:eastAsia="ＭＳ ゴシック"/>
                                      <w:color w:val="FFFFFF" w:themeColor="background1"/>
                                      <w:sz w:val="22"/>
                                    </w:rPr>
                                    <w:t>医療介護連携</w:t>
                                  </w:r>
                                </w:p>
                              </w:txbxContent>
                            </wps:txbx>
                            <wps:bodyPr vertOverflow="clip" horzOverflow="clip" wrap="square"/>
                          </wps:wsp>
                        </a:graphicData>
                      </a:graphic>
                    </wp:anchor>
                  </w:drawing>
                </mc:Choice>
                <mc:Fallback>
                  <w:pict>
                    <v:rect id="四角形 11" style="mso-wrap-distance-right:9pt;mso-wrap-distance-bottom:0pt;margin-top:62.7pt;mso-position-vertical-relative:text;mso-position-horizontal-relative:text;position:absolute;height:23.6pt;mso-wrap-distance-top:0pt;width:95.25pt;mso-wrap-distance-left:9pt;margin-left:34.15pt;z-index:192;" o:spid="_x0000_s1243" o:allowincell="t" o:allowoverlap="t" filled="f" stroked="f" strokecolor="#32528f" strokeweight="0.25pt" o:spt="1">
                      <v:fill/>
                      <v:stroke linestyle="single" miterlimit="8" endcap="flat" dashstyle="solid"/>
                      <v:textbox style="layout-flow:horizontal;">
                        <w:txbxContent>
                          <w:p>
                            <w:pPr>
                              <w:pStyle w:val="46"/>
                              <w:spacing w:before="0" w:beforeLines="0" w:beforeAutospacing="0" w:after="0" w:afterLines="0" w:afterAutospacing="0"/>
                              <w:jc w:val="center"/>
                              <w:rPr>
                                <w:rFonts w:hint="default" w:ascii="ＭＳ ゴシック" w:hAnsi="ＭＳ ゴシック" w:eastAsia="ＭＳ ゴシック"/>
                                <w:sz w:val="22"/>
                              </w:rPr>
                            </w:pPr>
                            <w:r>
                              <w:rPr>
                                <w:rFonts w:hint="eastAsia" w:ascii="ＭＳ ゴシック" w:hAnsi="ＭＳ ゴシック" w:eastAsia="ＭＳ ゴシック"/>
                                <w:color w:val="FFFFFF" w:themeColor="background1"/>
                                <w:sz w:val="22"/>
                              </w:rPr>
                              <w:t>医療介護連携</w:t>
                            </w:r>
                          </w:p>
                        </w:txbxContent>
                      </v:textbox>
                      <v:imagedata o:title=""/>
                      <w10:wrap type="none" anchorx="text" anchory="text"/>
                    </v:rect>
                  </w:pict>
                </mc:Fallback>
              </mc:AlternateContent>
            </w:r>
            <w:r>
              <w:rPr>
                <w:rFonts w:hint="default" w:ascii="ＭＳ ゴシック" w:hAnsi="ＭＳ ゴシック" w:eastAsia="ＭＳ ゴシック"/>
                <w:sz w:val="16"/>
              </w:rPr>
              <w:t>なし</w:t>
            </w:r>
          </w:p>
        </w:tc>
        <w:tc>
          <w:tcPr>
            <w:tcW w:w="1833" w:type="dxa"/>
            <w:vMerge w:val="restart"/>
            <w:tcBorders>
              <w:top w:val="single" w:color="auto" w:sz="12" w:space="0"/>
              <w:left w:val="single" w:color="auto" w:sz="12" w:space="0"/>
              <w:bottom w:val="none" w:color="auto" w:sz="0"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○一次医療圏域</w:t>
            </w:r>
            <w:r>
              <w:rPr>
                <w:rFonts w:hint="eastAsia" w:ascii="ＭＳ ゴシック" w:hAnsi="ＭＳ ゴシック" w:eastAsia="ＭＳ ゴシック"/>
                <w:sz w:val="16"/>
              </w:rPr>
              <w:t>(</w:t>
            </w:r>
            <w:r>
              <w:rPr>
                <w:rFonts w:hint="eastAsia" w:ascii="ＭＳ ゴシック" w:hAnsi="ＭＳ ゴシック" w:eastAsia="ＭＳ ゴシック"/>
                <w:sz w:val="16"/>
              </w:rPr>
              <w:t>箕面市</w:t>
            </w:r>
            <w:r>
              <w:rPr>
                <w:rFonts w:hint="eastAsia" w:ascii="ＭＳ ゴシック" w:hAnsi="ＭＳ ゴシック" w:eastAsia="ＭＳ ゴシック"/>
                <w:sz w:val="16"/>
              </w:rPr>
              <w:t>)</w:t>
            </w:r>
            <w:r>
              <w:rPr>
                <w:rFonts w:hint="eastAsia" w:ascii="ＭＳ ゴシック" w:hAnsi="ＭＳ ゴシック" w:eastAsia="ＭＳ ゴシック"/>
                <w:sz w:val="16"/>
              </w:rPr>
              <w:t>の充実</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○在宅医療コーディネート機能の充実</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○医療介護の多職種連携の強化</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○在宅療養支援診療所、在宅療養支</w:t>
            </w:r>
            <w:r>
              <w:rPr>
                <w:rFonts w:hint="default" w:ascii="ＭＳ ゴシック" w:hAnsi="ＭＳ ゴシック" w:eastAsia="ＭＳ ゴシック"/>
                <w:sz w:val="16"/>
              </w:rPr>
              <w:t>援歯科診療所の充実と薬局</w:t>
            </w:r>
            <w:r>
              <w:rPr>
                <w:rFonts w:hint="eastAsia" w:ascii="ＭＳ ゴシック" w:hAnsi="ＭＳ ゴシック" w:eastAsia="ＭＳ ゴシック"/>
                <w:sz w:val="16"/>
              </w:rPr>
              <w:t>､</w:t>
            </w:r>
            <w:r>
              <w:rPr>
                <w:rFonts w:hint="default" w:ascii="ＭＳ ゴシック" w:hAnsi="ＭＳ ゴシック" w:eastAsia="ＭＳ ゴシック"/>
                <w:sz w:val="16"/>
              </w:rPr>
              <w:t>地域包括支援センター</w:t>
            </w:r>
            <w:r>
              <w:rPr>
                <w:rFonts w:hint="eastAsia" w:ascii="ＭＳ ゴシック" w:hAnsi="ＭＳ ゴシック" w:eastAsia="ＭＳ ゴシック"/>
                <w:sz w:val="16"/>
              </w:rPr>
              <w:t>､</w:t>
            </w:r>
            <w:r>
              <w:rPr>
                <w:rFonts w:hint="default" w:ascii="ＭＳ ゴシック" w:hAnsi="ＭＳ ゴシック" w:eastAsia="ＭＳ ゴシック"/>
                <w:sz w:val="16"/>
              </w:rPr>
              <w:t>居宅介護支援事業所</w:t>
            </w:r>
            <w:r>
              <w:rPr>
                <w:rFonts w:hint="eastAsia" w:ascii="ＭＳ ゴシック" w:hAnsi="ＭＳ ゴシック" w:eastAsia="ＭＳ ゴシック"/>
                <w:sz w:val="16"/>
              </w:rPr>
              <w:t>､</w:t>
            </w:r>
            <w:r>
              <w:rPr>
                <w:rFonts w:hint="default" w:ascii="ＭＳ ゴシック" w:hAnsi="ＭＳ ゴシック" w:eastAsia="ＭＳ ゴシック"/>
                <w:sz w:val="16"/>
              </w:rPr>
              <w:t>介護保険サービス事業者との連携強化の枠組みの構築　　　　</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○在宅医療の受け皿となる病床等</w:t>
            </w:r>
            <w:r>
              <w:rPr>
                <w:rFonts w:hint="eastAsia" w:ascii="ＭＳ ゴシック" w:hAnsi="ＭＳ ゴシック" w:eastAsia="ＭＳ ゴシック"/>
                <w:sz w:val="16"/>
              </w:rPr>
              <w:t>(</w:t>
            </w:r>
            <w:r>
              <w:rPr>
                <w:rFonts w:hint="default" w:ascii="ＭＳ ゴシック" w:hAnsi="ＭＳ ゴシック" w:eastAsia="ＭＳ ゴシック"/>
                <w:sz w:val="16"/>
              </w:rPr>
              <w:t>在宅療養支援病院等</w:t>
            </w:r>
            <w:r>
              <w:rPr>
                <w:rFonts w:hint="eastAsia" w:ascii="ＭＳ ゴシック" w:hAnsi="ＭＳ ゴシック" w:eastAsia="ＭＳ ゴシック"/>
                <w:sz w:val="16"/>
              </w:rPr>
              <w:t>)</w:t>
            </w:r>
            <w:r>
              <w:rPr>
                <w:rFonts w:hint="default" w:ascii="ＭＳ ゴシック" w:hAnsi="ＭＳ ゴシック" w:eastAsia="ＭＳ ゴシック"/>
                <w:sz w:val="16"/>
              </w:rPr>
              <w:t>の確保</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w:t>
            </w:r>
            <w:r>
              <w:rPr>
                <w:rFonts w:hint="eastAsia" w:ascii="ＭＳ ゴシック" w:hAnsi="ＭＳ ゴシック" w:eastAsia="ＭＳ ゴシック"/>
                <w:color w:val="000000" w:themeColor="text1"/>
                <w:sz w:val="16"/>
              </w:rPr>
              <w:t>認知症初期集中支援チームによる支援</w:t>
            </w: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p>
        </w:tc>
        <w:tc>
          <w:tcPr>
            <w:tcW w:w="1428" w:type="dxa"/>
            <w:tcBorders>
              <w:top w:val="single" w:color="auto" w:sz="12" w:space="0"/>
              <w:left w:val="double" w:color="auto" w:sz="4" w:space="0"/>
              <w:bottom w:val="single" w:color="auto" w:sz="4"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○市内の病院間の医療・介護連携の推進</w:t>
            </w:r>
          </w:p>
        </w:tc>
      </w:tr>
      <w:tr>
        <w:trPr>
          <w:cantSplit/>
          <w:trHeight w:val="1672" w:hRule="atLeast"/>
        </w:trPr>
        <w:tc>
          <w:tcPr>
            <w:tcW w:w="426"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b w:val="1"/>
                <w:color w:val="FFFFFF" w:themeColor="background1"/>
                <w:sz w:val="18"/>
              </w:rPr>
            </w:pPr>
          </w:p>
        </w:tc>
        <w:tc>
          <w:tcPr>
            <w:tcW w:w="425"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themeFill="accent6" w:themeFillTint="66" w:themeFillShade="FF"/>
            <w:textDirection w:val="tbRlV"/>
            <w:vAlign w:val="center"/>
          </w:tcPr>
          <w:p>
            <w:pPr>
              <w:pStyle w:val="0"/>
              <w:spacing w:line="200" w:lineRule="exact"/>
              <w:ind w:left="113" w:right="113"/>
              <w:jc w:val="center"/>
              <w:rPr>
                <w:rFonts w:hint="default" w:ascii="ＭＳ ゴシック" w:hAnsi="ＭＳ ゴシック" w:eastAsia="ＭＳ ゴシック"/>
                <w:sz w:val="18"/>
              </w:rPr>
            </w:pPr>
          </w:p>
        </w:tc>
        <w:tc>
          <w:tcPr>
            <w:tcW w:w="992" w:type="dxa"/>
            <w:tcBorders>
              <w:top w:val="dotted" w:color="auto" w:sz="4" w:space="0"/>
              <w:left w:val="none" w:color="auto" w:sz="0" w:space="0"/>
              <w:bottom w:val="single" w:color="auto" w:sz="12"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40" w:lineRule="exact"/>
              <w:ind w:left="160" w:hanging="160" w:hangingChars="100"/>
              <w:jc w:val="center"/>
              <w:rPr>
                <w:rFonts w:hint="default" w:ascii="ＭＳ ゴシック" w:hAnsi="ＭＳ ゴシック" w:eastAsia="ＭＳ ゴシック"/>
                <w:sz w:val="16"/>
              </w:rPr>
            </w:pPr>
            <w:r>
              <w:rPr>
                <w:rFonts w:hint="eastAsia" w:ascii="ＭＳ ゴシック" w:hAnsi="ＭＳ ゴシック" w:eastAsia="ＭＳ ゴシック"/>
                <w:sz w:val="16"/>
              </w:rPr>
              <w:t>在宅医療</w:t>
            </w:r>
          </w:p>
          <w:p>
            <w:pPr>
              <w:pStyle w:val="0"/>
              <w:spacing w:before="72" w:beforeLines="20" w:beforeAutospacing="0" w:line="140" w:lineRule="exact"/>
              <w:ind w:left="160" w:hanging="160" w:hangingChars="100"/>
              <w:jc w:val="center"/>
              <w:rPr>
                <w:rFonts w:hint="default" w:ascii="ＭＳ ゴシック" w:hAnsi="ＭＳ ゴシック" w:eastAsia="ＭＳ ゴシック"/>
                <w:sz w:val="10"/>
              </w:rPr>
            </w:pPr>
            <w:r>
              <w:rPr>
                <w:rFonts w:hint="eastAsia" w:ascii="ＭＳ ゴシック" w:hAnsi="ＭＳ ゴシック" w:eastAsia="ＭＳ ゴシック"/>
                <w:sz w:val="16"/>
              </w:rPr>
              <w:t>在宅看護</w:t>
            </w:r>
          </w:p>
        </w:tc>
        <w:tc>
          <w:tcPr>
            <w:tcW w:w="1701"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40" w:lineRule="exact"/>
              <w:ind w:left="120" w:right="-96" w:rightChars="-40" w:hanging="120" w:hangingChars="100"/>
              <w:rPr>
                <w:rFonts w:hint="default" w:ascii="ＭＳ ゴシック" w:hAnsi="ＭＳ ゴシック" w:eastAsia="ＭＳ ゴシック"/>
                <w:sz w:val="12"/>
              </w:rPr>
            </w:pPr>
          </w:p>
        </w:tc>
        <w:tc>
          <w:tcPr>
            <w:tcW w:w="1701" w:type="dxa"/>
            <w:tcBorders>
              <w:top w:val="dotted" w:color="auto" w:sz="4" w:space="0"/>
              <w:left w:val="none" w:color="auto" w:sz="0"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○家族が行う医療的ケア</w:t>
            </w:r>
            <w:r>
              <w:rPr>
                <w:rFonts w:hint="default" w:ascii="ＭＳ ゴシック" w:hAnsi="ＭＳ ゴシック" w:eastAsia="ＭＳ ゴシック"/>
                <w:sz w:val="16"/>
              </w:rPr>
              <w:t>(</w:t>
            </w:r>
            <w:r>
              <w:rPr>
                <w:rFonts w:hint="default" w:ascii="ＭＳ ゴシック" w:hAnsi="ＭＳ ゴシック" w:eastAsia="ＭＳ ゴシック"/>
                <w:sz w:val="16"/>
              </w:rPr>
              <w:t>痰吸引</w:t>
            </w:r>
            <w:r>
              <w:rPr>
                <w:rFonts w:hint="eastAsia" w:ascii="ＭＳ ゴシック" w:hAnsi="ＭＳ ゴシック" w:eastAsia="ＭＳ ゴシック"/>
                <w:sz w:val="16"/>
              </w:rPr>
              <w:t>､</w:t>
            </w:r>
            <w:r>
              <w:rPr>
                <w:rFonts w:hint="default" w:ascii="ＭＳ ゴシック" w:hAnsi="ＭＳ ゴシック" w:eastAsia="ＭＳ ゴシック"/>
                <w:sz w:val="16"/>
              </w:rPr>
              <w:t>インスリン注射</w:t>
            </w:r>
            <w:r>
              <w:rPr>
                <w:rFonts w:hint="eastAsia" w:ascii="ＭＳ ゴシック" w:hAnsi="ＭＳ ゴシック" w:eastAsia="ＭＳ ゴシック"/>
                <w:sz w:val="16"/>
              </w:rPr>
              <w:t>､</w:t>
            </w:r>
            <w:r>
              <w:rPr>
                <w:rFonts w:hint="default" w:ascii="ＭＳ ゴシック" w:hAnsi="ＭＳ ゴシック" w:eastAsia="ＭＳ ゴシック"/>
                <w:sz w:val="16"/>
              </w:rPr>
              <w:t>服薬管理</w:t>
            </w:r>
            <w:r>
              <w:rPr>
                <w:rFonts w:hint="eastAsia" w:ascii="ＭＳ ゴシック" w:hAnsi="ＭＳ ゴシック" w:eastAsia="ＭＳ ゴシック"/>
                <w:sz w:val="16"/>
              </w:rPr>
              <w:t>)</w:t>
            </w:r>
          </w:p>
        </w:tc>
        <w:tc>
          <w:tcPr>
            <w:tcW w:w="1701" w:type="dxa"/>
            <w:vMerge w:val="continue"/>
            <w:tcBorders>
              <w:top w:val="none" w:color="auto" w:sz="0" w:space="0"/>
              <w:left w:val="single" w:color="auto" w:sz="12" w:space="0"/>
              <w:bottom w:val="single" w:color="auto" w:sz="12" w:space="0"/>
              <w:right w:val="single" w:color="auto" w:sz="12" w:space="0"/>
              <w:tl2br w:val="none" w:color="auto" w:sz="0" w:space="0"/>
              <w:tr2bl w:val="single" w:color="auto" w:sz="4" w:space="0"/>
            </w:tcBorders>
            <w:shd w:val="clear" w:color="auto" w:fill="auto"/>
            <w:vAlign w:val="top"/>
          </w:tcPr>
          <w:p>
            <w:pPr>
              <w:pStyle w:val="0"/>
              <w:spacing w:line="140" w:lineRule="exact"/>
              <w:ind w:left="-20" w:right="-96" w:rightChars="-40"/>
              <w:rPr>
                <w:rFonts w:hint="default" w:ascii="ＭＳ ゴシック" w:hAnsi="ＭＳ ゴシック" w:eastAsia="ＭＳ ゴシック"/>
                <w:sz w:val="10"/>
              </w:rPr>
            </w:pPr>
          </w:p>
        </w:tc>
        <w:tc>
          <w:tcPr>
            <w:tcW w:w="1833" w:type="dxa"/>
            <w:vMerge w:val="continue"/>
            <w:tcBorders>
              <w:top w:val="none" w:color="auto" w:sz="0" w:space="0"/>
              <w:left w:val="single" w:color="auto" w:sz="12" w:space="0"/>
              <w:bottom w:val="single" w:color="auto" w:sz="12" w:space="0"/>
              <w:right w:val="double" w:color="auto" w:sz="4" w:space="0"/>
              <w:tl2br w:val="none" w:color="auto" w:sz="0" w:space="0"/>
              <w:tr2bl w:val="none" w:color="auto" w:sz="0" w:space="0"/>
            </w:tcBorders>
            <w:shd w:val="clear" w:color="auto" w:fill="auto"/>
            <w:vAlign w:val="top"/>
          </w:tcPr>
          <w:p>
            <w:pPr>
              <w:pStyle w:val="0"/>
              <w:spacing w:line="140" w:lineRule="exact"/>
              <w:ind w:left="-20" w:right="-96" w:rightChars="-40"/>
              <w:rPr>
                <w:rFonts w:hint="default" w:ascii="ＭＳ ゴシック" w:hAnsi="ＭＳ ゴシック" w:eastAsia="ＭＳ ゴシック"/>
                <w:sz w:val="10"/>
              </w:rPr>
            </w:pPr>
          </w:p>
        </w:tc>
        <w:tc>
          <w:tcPr>
            <w:tcW w:w="1428" w:type="dxa"/>
            <w:tcBorders>
              <w:top w:val="single" w:color="auto" w:sz="4" w:space="0"/>
              <w:left w:val="double" w:color="auto" w:sz="4"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○自費の訪問看護</w:t>
            </w:r>
          </w:p>
          <w:p>
            <w:pPr>
              <w:pStyle w:val="0"/>
              <w:spacing w:line="160" w:lineRule="exact"/>
              <w:ind w:left="-48" w:leftChars="-20" w:right="-96" w:rightChars="-40" w:firstLine="160" w:firstLineChars="100"/>
              <w:rPr>
                <w:rFonts w:hint="default" w:ascii="ＭＳ ゴシック" w:hAnsi="ＭＳ ゴシック" w:eastAsia="ＭＳ ゴシック"/>
                <w:sz w:val="12"/>
              </w:rPr>
            </w:pPr>
            <w:r>
              <w:rPr>
                <w:rFonts w:hint="eastAsia" w:ascii="ＭＳ ゴシック" w:hAnsi="ＭＳ ゴシック" w:eastAsia="ＭＳ ゴシック"/>
                <w:sz w:val="16"/>
              </w:rPr>
              <w:t>サービス</w:t>
            </w:r>
          </w:p>
        </w:tc>
      </w:tr>
      <w:tr>
        <w:trPr>
          <w:cantSplit/>
          <w:trHeight w:val="2471" w:hRule="atLeast"/>
        </w:trPr>
        <w:tc>
          <w:tcPr>
            <w:tcW w:w="42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FF" w:themeFillShade="FF"/>
            <w:textDirection w:val="tbRlV"/>
            <w:vAlign w:val="center"/>
          </w:tcPr>
          <w:p>
            <w:pPr>
              <w:pStyle w:val="0"/>
              <w:spacing w:line="200" w:lineRule="exact"/>
              <w:ind w:left="113" w:right="113"/>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介護</w:t>
            </w:r>
          </w:p>
        </w:tc>
        <w:tc>
          <w:tcPr>
            <w:tcW w:w="1417" w:type="dxa"/>
            <w:gridSpan w:val="2"/>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66" w:themeFillShade="FF"/>
            <w:vAlign w:val="center"/>
          </w:tcPr>
          <w:p>
            <w:pPr>
              <w:pStyle w:val="0"/>
              <w:spacing w:line="160" w:lineRule="exact"/>
              <w:ind w:left="160" w:hanging="160" w:hangingChars="100"/>
              <w:jc w:val="center"/>
              <w:rPr>
                <w:rFonts w:hint="default" w:ascii="ＭＳ ゴシック" w:hAnsi="ＭＳ ゴシック" w:eastAsia="ＭＳ ゴシック"/>
                <w:sz w:val="18"/>
              </w:rPr>
            </w:pPr>
            <w:r>
              <w:rPr>
                <w:rFonts w:hint="eastAsia" w:ascii="ＭＳ ゴシック" w:hAnsi="ＭＳ ゴシック" w:eastAsia="ＭＳ ゴシック"/>
                <w:sz w:val="16"/>
              </w:rPr>
              <w:t>介護・リハビリ</w:t>
            </w:r>
          </w:p>
          <w:p>
            <w:pPr>
              <w:pStyle w:val="0"/>
              <w:spacing w:line="160" w:lineRule="exact"/>
              <w:ind w:left="160" w:hanging="160" w:hangingChars="100"/>
              <w:jc w:val="center"/>
              <w:rPr>
                <w:rFonts w:hint="default" w:ascii="ＭＳ ゴシック" w:hAnsi="ＭＳ ゴシック" w:eastAsia="ＭＳ ゴシック"/>
                <w:sz w:val="18"/>
              </w:rPr>
            </w:pPr>
            <w:r>
              <w:rPr>
                <w:rFonts w:hint="eastAsia" w:ascii="ＭＳ ゴシック" w:hAnsi="ＭＳ ゴシック" w:eastAsia="ＭＳ ゴシック"/>
                <w:sz w:val="16"/>
              </w:rPr>
              <w:t>テーション</w:t>
            </w:r>
          </w:p>
        </w:tc>
        <w:tc>
          <w:tcPr>
            <w:tcW w:w="1701" w:type="dxa"/>
            <w:tcBorders>
              <w:top w:val="single" w:color="auto" w:sz="12" w:space="0"/>
              <w:left w:val="single" w:color="auto" w:sz="12" w:space="0"/>
              <w:bottom w:val="single" w:color="auto" w:sz="12" w:space="0"/>
              <w:right w:val="none" w:color="auto" w:sz="0"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自ら要介護状態となることを予防するため、加齢に伴って生ずる心身の変化を自覚して常に健康の保持増進に努めるとともに、要介護状態となった場合においても、進んでリハビリその他適切な保健医療サービス及び福祉サービスを利用することにより、その有する能力の維持向上に努める</w:t>
            </w:r>
            <w:r>
              <w:rPr>
                <w:rFonts w:hint="default" w:ascii="ＭＳ ゴシック" w:hAnsi="ＭＳ ゴシック" w:eastAsia="ＭＳ ゴシック"/>
                <w:sz w:val="16"/>
              </w:rPr>
              <w:t>(</w:t>
            </w:r>
            <w:r>
              <w:rPr>
                <w:rFonts w:hint="default" w:ascii="ＭＳ ゴシック" w:hAnsi="ＭＳ ゴシック" w:eastAsia="ＭＳ ゴシック"/>
                <w:sz w:val="16"/>
              </w:rPr>
              <w:t>法第４条</w:t>
            </w:r>
            <w:r>
              <w:rPr>
                <w:rFonts w:hint="default" w:ascii="ＭＳ ゴシック" w:hAnsi="ＭＳ ゴシック" w:eastAsia="ＭＳ ゴシック"/>
                <w:sz w:val="16"/>
              </w:rPr>
              <w:t>)</w:t>
            </w:r>
          </w:p>
        </w:tc>
        <w:tc>
          <w:tcPr>
            <w:tcW w:w="1701" w:type="dxa"/>
            <w:tcBorders>
              <w:top w:val="single" w:color="auto" w:sz="12" w:space="0"/>
              <w:left w:val="none" w:color="auto" w:sz="0"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○家族介護</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○友人、知人による手伝い</w:t>
            </w:r>
            <w:r>
              <w:rPr>
                <w:rFonts w:hint="eastAsia" w:ascii="ＭＳ ゴシック" w:hAnsi="ＭＳ ゴシック" w:eastAsia="ＭＳ ゴシック"/>
                <w:sz w:val="16"/>
              </w:rPr>
              <w:t>(</w:t>
            </w:r>
            <w:r>
              <w:rPr>
                <w:rFonts w:hint="default" w:ascii="ＭＳ ゴシック" w:hAnsi="ＭＳ ゴシック" w:eastAsia="ＭＳ ゴシック"/>
                <w:sz w:val="16"/>
              </w:rPr>
              <w:t>ボランティア</w:t>
            </w:r>
            <w:r>
              <w:rPr>
                <w:rFonts w:hint="eastAsia" w:ascii="ＭＳ ゴシック" w:hAnsi="ＭＳ ゴシック" w:eastAsia="ＭＳ ゴシック"/>
                <w:sz w:val="16"/>
              </w:rPr>
              <w:t>)</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○当事者や家族介護者の会</w:t>
            </w:r>
          </w:p>
          <w:p>
            <w:pPr>
              <w:pStyle w:val="0"/>
              <w:spacing w:line="160" w:lineRule="exact"/>
              <w:ind w:left="99" w:leftChars="-20" w:right="-96" w:rightChars="-40" w:hanging="147" w:hangingChars="92"/>
              <w:rPr>
                <w:rFonts w:hint="default" w:ascii="ＭＳ ゴシック" w:hAnsi="ＭＳ ゴシック" w:eastAsia="ＭＳ ゴシック"/>
                <w:sz w:val="16"/>
              </w:rPr>
            </w:pPr>
          </w:p>
        </w:tc>
        <w:tc>
          <w:tcPr>
            <w:tcW w:w="1701"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100" w:leftChars="-20" w:right="-96" w:rightChars="-40" w:hanging="148" w:hangingChars="92"/>
              <w:rPr>
                <w:rFonts w:hint="default" w:ascii="ＭＳ ゴシック" w:hAnsi="ＭＳ ゴシック" w:eastAsia="ＭＳ ゴシック"/>
                <w:b w:val="1"/>
                <w:sz w:val="16"/>
              </w:rPr>
            </w:pPr>
          </w:p>
          <w:p>
            <w:pPr>
              <w:pStyle w:val="0"/>
              <w:spacing w:before="72" w:beforeLines="20" w:beforeAutospacing="0" w:line="160" w:lineRule="exact"/>
              <w:ind w:left="100" w:leftChars="-20" w:right="-96" w:rightChars="-40" w:hanging="148" w:hangingChars="92"/>
              <w:rPr>
                <w:rFonts w:hint="default" w:ascii="ＭＳ ゴシック" w:hAnsi="ＭＳ ゴシック" w:eastAsia="ＭＳ ゴシック"/>
                <w:b w:val="1"/>
                <w:sz w:val="16"/>
              </w:rPr>
            </w:pPr>
            <w:r>
              <w:rPr>
                <w:rFonts w:hint="eastAsia" w:ascii="ＭＳ ゴシック" w:hAnsi="ＭＳ ゴシック" w:eastAsia="ＭＳ ゴシック"/>
                <w:b w:val="1"/>
                <w:sz w:val="16"/>
              </w:rPr>
              <w:t>介護保険</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○介護給付</w:t>
            </w:r>
          </w:p>
          <w:p>
            <w:pPr>
              <w:pStyle w:val="0"/>
              <w:spacing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○予防給付</w:t>
            </w:r>
          </w:p>
          <w:p>
            <w:pPr>
              <w:pStyle w:val="0"/>
              <w:spacing w:line="160" w:lineRule="exact"/>
              <w:ind w:left="99" w:leftChars="-20" w:right="-96" w:rightChars="-40" w:hanging="147" w:hangingChars="92"/>
              <w:rPr>
                <w:rFonts w:hint="default" w:ascii="ＭＳ ゴシック" w:hAnsi="ＭＳ ゴシック" w:eastAsia="ＭＳ ゴシック"/>
                <w:sz w:val="10"/>
              </w:rPr>
            </w:pPr>
            <w:r>
              <w:rPr>
                <w:rFonts w:hint="eastAsia" w:ascii="ＭＳ ゴシック" w:hAnsi="ＭＳ ゴシック" w:eastAsia="ＭＳ ゴシック"/>
                <w:sz w:val="16"/>
              </w:rPr>
              <w:t>○総合事業（訪問型サービス、通</w:t>
            </w:r>
            <w:r>
              <w:rPr>
                <w:rFonts w:hint="default" w:ascii="ＭＳ ゴシック" w:hAnsi="ＭＳ ゴシック" w:eastAsia="ＭＳ ゴシック"/>
                <w:sz w:val="16"/>
              </w:rPr>
              <w:t>所型サービス）</w:t>
            </w:r>
          </w:p>
        </w:tc>
        <w:tc>
          <w:tcPr>
            <w:tcW w:w="1833" w:type="dxa"/>
            <w:tcBorders>
              <w:top w:val="single" w:color="auto" w:sz="12" w:space="0"/>
              <w:left w:val="single" w:color="auto" w:sz="12" w:space="0"/>
              <w:bottom w:val="single" w:color="auto" w:sz="12" w:space="0"/>
              <w:right w:val="double" w:color="auto" w:sz="4" w:space="0"/>
              <w:tl2br w:val="none" w:color="auto" w:sz="0" w:space="0"/>
              <w:tr2bl w:val="none" w:color="auto" w:sz="0" w:space="0"/>
            </w:tcBorders>
            <w:shd w:val="clear" w:color="auto" w:fill="auto"/>
            <w:vAlign w:val="top"/>
          </w:tcPr>
          <w:p>
            <w:pPr>
              <w:pStyle w:val="0"/>
              <w:spacing w:before="72" w:beforeLines="20" w:beforeAutospacing="0" w:line="160" w:lineRule="exact"/>
              <w:ind w:left="62" w:leftChars="-20" w:right="-96" w:rightChars="-40" w:hanging="110" w:hangingChars="92"/>
              <w:rPr>
                <w:rFonts w:hint="default" w:ascii="ＭＳ ゴシック" w:hAnsi="ＭＳ ゴシック" w:eastAsia="ＭＳ ゴシック"/>
                <w:sz w:val="12"/>
              </w:rPr>
            </w:pPr>
          </w:p>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6"/>
              </w:rPr>
            </w:pPr>
            <w:r>
              <w:rPr>
                <w:rFonts w:hint="eastAsia" w:ascii="ＭＳ ゴシック" w:hAnsi="ＭＳ ゴシック" w:eastAsia="ＭＳ ゴシック"/>
                <w:sz w:val="16"/>
              </w:rPr>
              <w:t>○特別養護老人ホーム等への措置</w:t>
            </w:r>
          </w:p>
          <w:p>
            <w:pPr>
              <w:pStyle w:val="0"/>
              <w:spacing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○生活支援サポーターの養成</w:t>
            </w:r>
          </w:p>
        </w:tc>
        <w:tc>
          <w:tcPr>
            <w:tcW w:w="1428" w:type="dxa"/>
            <w:tcBorders>
              <w:top w:val="single" w:color="auto" w:sz="12" w:space="0"/>
              <w:left w:val="double" w:color="auto" w:sz="4" w:space="0"/>
              <w:bottom w:val="single" w:color="auto" w:sz="12" w:space="0"/>
              <w:right w:val="single" w:color="auto" w:sz="12" w:space="0"/>
              <w:tl2br w:val="none" w:color="auto" w:sz="0" w:space="0"/>
              <w:tr2bl w:val="none" w:color="auto" w:sz="0" w:space="0"/>
            </w:tcBorders>
            <w:shd w:val="clear" w:color="auto" w:fill="auto"/>
            <w:vAlign w:val="top"/>
          </w:tcPr>
          <w:p>
            <w:pPr>
              <w:pStyle w:val="0"/>
              <w:spacing w:before="72" w:beforeLines="20" w:beforeAutospacing="0" w:line="160" w:lineRule="exact"/>
              <w:ind w:left="99" w:leftChars="-20" w:right="-96" w:rightChars="-40" w:hanging="147" w:hangingChars="92"/>
              <w:rPr>
                <w:rFonts w:hint="default" w:ascii="ＭＳ ゴシック" w:hAnsi="ＭＳ ゴシック" w:eastAsia="ＭＳ ゴシック"/>
                <w:sz w:val="12"/>
              </w:rPr>
            </w:pPr>
            <w:r>
              <w:rPr>
                <w:rFonts w:hint="eastAsia" w:ascii="ＭＳ ゴシック" w:hAnsi="ＭＳ ゴシック" w:eastAsia="ＭＳ ゴシック"/>
                <w:sz w:val="16"/>
              </w:rPr>
              <w:t>○自費の訪問介護サービス</w:t>
            </w:r>
            <w:r>
              <w:rPr>
                <w:rFonts w:hint="eastAsia" w:ascii="ＭＳ ゴシック" w:hAnsi="ＭＳ ゴシック" w:eastAsia="ＭＳ ゴシック"/>
                <w:sz w:val="16"/>
              </w:rPr>
              <w:t>(</w:t>
            </w:r>
            <w:r>
              <w:rPr>
                <w:rFonts w:hint="eastAsia" w:ascii="ＭＳ ゴシック" w:hAnsi="ＭＳ ゴシック" w:eastAsia="ＭＳ ゴシック"/>
                <w:sz w:val="16"/>
              </w:rPr>
              <w:t>家政婦等</w:t>
            </w:r>
            <w:r>
              <w:rPr>
                <w:rFonts w:hint="eastAsia" w:ascii="ＭＳ ゴシック" w:hAnsi="ＭＳ ゴシック" w:eastAsia="ＭＳ ゴシック"/>
                <w:sz w:val="16"/>
              </w:rPr>
              <w:t>)</w:t>
            </w:r>
          </w:p>
        </w:tc>
      </w:tr>
    </w:tbl>
    <w:p>
      <w:pPr>
        <w:pStyle w:val="0"/>
        <w:rPr>
          <w:rFonts w:hint="default"/>
        </w:rPr>
      </w:pPr>
      <w:r>
        <w:rPr>
          <w:rFonts w:hint="eastAsia"/>
        </w:rPr>
        <mc:AlternateContent>
          <mc:Choice Requires="wps">
            <w:drawing>
              <wp:anchor distT="0" distB="0" distL="114300" distR="114300" simplePos="0" relativeHeight="194" behindDoc="0" locked="0" layoutInCell="1" hidden="0" allowOverlap="1">
                <wp:simplePos x="0" y="0"/>
                <wp:positionH relativeFrom="column">
                  <wp:posOffset>-393700</wp:posOffset>
                </wp:positionH>
                <wp:positionV relativeFrom="paragraph">
                  <wp:posOffset>-1554480</wp:posOffset>
                </wp:positionV>
                <wp:extent cx="255905" cy="1539875"/>
                <wp:effectExtent l="0" t="0" r="635" b="635"/>
                <wp:wrapNone/>
                <wp:docPr id="1244" name="正方形/長方形 46"/>
                <a:graphic xmlns:a="http://schemas.openxmlformats.org/drawingml/2006/main">
                  <a:graphicData uri="http://schemas.microsoft.com/office/word/2010/wordprocessingShape">
                    <wps:wsp>
                      <wps:cNvPr id="1244" name="正方形/長方形 46"/>
                      <wps:cNvSpPr/>
                      <wps:spPr>
                        <a:xfrm>
                          <a:off x="0" y="0"/>
                          <a:ext cx="255905" cy="15398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vert="eaVert" wrap="square" numCol="1" spcCol="0" rtlCol="0" fromWordArt="0" anchor="ctr" anchorCtr="0" forceAA="0" compatLnSpc="1"/>
                    </wps:wsp>
                  </a:graphicData>
                </a:graphic>
              </wp:anchor>
            </w:drawing>
          </mc:Choice>
          <mc:Fallback>
            <w:pict>
              <v:rect id="正方形/長方形 46" style="mso-wrap-distance-right:9pt;mso-wrap-distance-bottom:0pt;margin-top:-122.4pt;mso-position-vertical-relative:text;mso-position-horizontal-relative:text;v-text-anchor:middle;position:absolute;height:121.25pt;mso-wrap-distance-top:0pt;width:20.14pt;mso-wrap-distance-left:9pt;margin-left:-31pt;z-index:194;" o:spid="_x0000_s1244" o:allowincell="t" o:allowoverlap="t" filled="t" fillcolor="#f8cbad [1301]" stroked="f" strokecolor="#32528f" strokeweight="1pt" o:spt="1">
                <v:fill/>
                <v:stroke linestyle="single" miterlimit="8" endcap="flat" dashstyle="solid"/>
                <v:textbox style="layout-flow:vertical-ideographic;">
                  <w:txbxContent>
                    <w:p>
                      <w:pPr>
                        <w:pStyle w:val="0"/>
                        <w:jc w:val="center"/>
                        <w:rPr>
                          <w:rFonts w:hint="default"/>
                        </w:rPr>
                      </w:pPr>
                    </w:p>
                  </w:txbxContent>
                </v:textbox>
                <v:imagedata o:title=""/>
                <w10:wrap type="none" anchorx="text" anchory="text"/>
              </v:rect>
            </w:pict>
          </mc:Fallback>
        </mc:AlternateContent>
      </w:r>
    </w:p>
    <w:tbl>
      <w:tblPr>
        <w:tblStyle w:val="59"/>
        <w:tblW w:w="10198" w:type="dxa"/>
        <w:tblInd w:w="-34" w:type="dxa"/>
        <w:tblLayout w:type="fixed"/>
        <w:tblCellMar>
          <w:left w:w="99" w:type="dxa"/>
          <w:right w:w="99" w:type="dxa"/>
        </w:tblCellMar>
        <w:tblLook w:firstRow="1" w:lastRow="0" w:firstColumn="1" w:lastColumn="0" w:noHBand="0" w:noVBand="1" w:val="04A0"/>
      </w:tblPr>
      <w:tblGrid>
        <w:gridCol w:w="1806"/>
        <w:gridCol w:w="8392"/>
      </w:tblGrid>
      <w:tr>
        <w:trPr>
          <w:cantSplit/>
          <w:trHeight w:val="279" w:hRule="atLeast"/>
        </w:trPr>
        <w:tc>
          <w:tcPr>
            <w:tcW w:w="1806"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themeFill="accent6" w:themeFillTint="FF" w:themeFillShade="FF"/>
            <w:vAlign w:val="center"/>
          </w:tcPr>
          <w:p>
            <w:pPr>
              <w:pStyle w:val="0"/>
              <w:ind w:left="181" w:hanging="181" w:hangingChars="100"/>
              <w:contextualSpacing w:val="1"/>
              <w:jc w:val="center"/>
              <w:rPr>
                <w:rFonts w:hint="default" w:ascii="ＭＳ ゴシック" w:hAnsi="ＭＳ ゴシック" w:eastAsia="ＭＳ ゴシック"/>
                <w:b w:val="1"/>
                <w:sz w:val="18"/>
              </w:rPr>
            </w:pPr>
            <w:r>
              <w:rPr>
                <w:rFonts w:hint="eastAsia" w:ascii="ＭＳ ゴシック" w:hAnsi="ＭＳ ゴシック" w:eastAsia="ＭＳ ゴシック"/>
                <w:b w:val="1"/>
                <w:color w:val="FFFFFF" w:themeColor="background1"/>
                <w:sz w:val="18"/>
              </w:rPr>
              <w:t>住まい</w:t>
            </w:r>
          </w:p>
        </w:tc>
        <w:tc>
          <w:tcPr>
            <w:tcW w:w="8392"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shd w:val="clear" w:color="auto" w:fill="auto"/>
            <w:vAlign w:val="center"/>
          </w:tcPr>
          <w:p>
            <w:pPr>
              <w:pStyle w:val="0"/>
              <w:spacing w:before="72" w:beforeLines="20" w:beforeAutospacing="0" w:line="160" w:lineRule="exact"/>
              <w:jc w:val="both"/>
              <w:rPr>
                <w:rFonts w:hint="default" w:ascii="ＭＳ ゴシック" w:hAnsi="ＭＳ ゴシック" w:eastAsia="ＭＳ ゴシック"/>
                <w:sz w:val="10"/>
              </w:rPr>
            </w:pPr>
            <w:r>
              <w:rPr>
                <w:rFonts w:hint="eastAsia" w:ascii="ＭＳ ゴシック" w:hAnsi="ＭＳ ゴシック" w:eastAsia="ＭＳ ゴシック"/>
                <w:sz w:val="16"/>
              </w:rPr>
              <w:t>○自宅、サービス付き高齢者向け住宅、ケアハウス、介護付き有料老人ホーム、住宅型有料老人ホーム</w:t>
            </w:r>
          </w:p>
          <w:p>
            <w:pPr>
              <w:pStyle w:val="0"/>
              <w:spacing w:before="72" w:beforeLines="20" w:beforeAutospacing="0" w:line="160" w:lineRule="exact"/>
              <w:ind w:firstLine="160" w:firstLineChars="100"/>
              <w:jc w:val="both"/>
              <w:rPr>
                <w:rFonts w:hint="default" w:ascii="ＭＳ ゴシック" w:hAnsi="ＭＳ ゴシック" w:eastAsia="ＭＳ ゴシック"/>
                <w:sz w:val="10"/>
              </w:rPr>
            </w:pPr>
            <w:r>
              <w:rPr>
                <w:rFonts w:hint="eastAsia" w:ascii="ＭＳ ゴシック" w:hAnsi="ＭＳ ゴシック" w:eastAsia="ＭＳ ゴシック"/>
                <w:sz w:val="16"/>
              </w:rPr>
              <w:t>特別養護老人ホーム、介護老人保健施設、グループホームなど</w:t>
            </w:r>
          </w:p>
        </w:tc>
      </w:tr>
    </w:tbl>
    <w:p>
      <w:pPr>
        <w:pStyle w:val="0"/>
        <w:rPr>
          <w:rFonts w:hint="default"/>
        </w:rPr>
      </w:pPr>
    </w:p>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４つの「助」</w:t>
      </w:r>
    </w:p>
    <w:tbl>
      <w:tblPr>
        <w:tblStyle w:val="59"/>
        <w:tblW w:w="10305" w:type="dxa"/>
        <w:tblInd w:w="-120" w:type="dxa"/>
        <w:tblLayout w:type="fixed"/>
        <w:tblLook w:firstRow="1" w:lastRow="0" w:firstColumn="1" w:lastColumn="0" w:noHBand="0" w:noVBand="1" w:val="04A0"/>
      </w:tblPr>
      <w:tblGrid>
        <w:gridCol w:w="709"/>
        <w:gridCol w:w="9596"/>
      </w:tblGrid>
      <w:tr>
        <w:trPr/>
        <w:tc>
          <w:tcPr>
            <w:tcW w:w="709" w:type="dxa"/>
            <w:tcBorders>
              <w:top w:val="nil"/>
              <w:left w:val="nil"/>
              <w:bottom w:val="single" w:color="FFFFFF" w:themeColor="background1" w:sz="8" w:space="0"/>
              <w:right w:val="single" w:color="FFFFFF" w:themeColor="background1" w:sz="8" w:space="0"/>
              <w:tl2br w:val="none" w:color="auto" w:sz="0" w:space="0"/>
              <w:tr2bl w:val="none" w:color="auto" w:sz="0" w:space="0"/>
            </w:tcBorders>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自助</w:t>
            </w:r>
          </w:p>
        </w:tc>
        <w:tc>
          <w:tcPr>
            <w:tcW w:w="9596" w:type="dxa"/>
            <w:tcBorders>
              <w:top w:val="nil"/>
              <w:left w:val="single" w:color="FFFFFF" w:themeColor="background1" w:sz="8" w:space="0"/>
              <w:bottom w:val="single" w:color="FFFFFF" w:themeColor="background1" w:sz="8" w:space="0"/>
              <w:right w:val="nil"/>
              <w:tl2br w:val="none" w:color="auto" w:sz="0" w:space="0"/>
              <w:tr2bl w:val="none" w:color="auto" w:sz="0" w:space="0"/>
            </w:tcBorders>
            <w:shd w:val="clear" w:color="auto" w:themeFill="accent5" w:themeFillTint="66" w:themeFillShade="FF"/>
            <w:vAlign w:val="top"/>
          </w:tcPr>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自ら働いて、または自らの年金収入等により自らの生活を支え、自らの健康は自ら維持</w:t>
            </w:r>
          </w:p>
          <w:p>
            <w:pPr>
              <w:pStyle w:val="0"/>
              <w:spacing w:line="240" w:lineRule="exact"/>
              <w:rPr>
                <w:rFonts w:hint="default" w:ascii="ＭＳ ゴシック" w:hAnsi="ＭＳ ゴシック" w:eastAsia="ＭＳ ゴシック"/>
                <w:sz w:val="18"/>
              </w:rPr>
            </w:pPr>
            <w:r>
              <w:rPr>
                <w:rFonts w:hint="default" w:ascii="ＭＳ ゴシック" w:hAnsi="ＭＳ ゴシック" w:eastAsia="ＭＳ ゴシック"/>
                <w:sz w:val="16"/>
              </w:rPr>
              <w:t>○</w:t>
            </w:r>
            <w:r>
              <w:rPr>
                <w:rFonts w:hint="default" w:ascii="ＭＳ ゴシック" w:hAnsi="ＭＳ ゴシック" w:eastAsia="ＭＳ ゴシック"/>
                <w:sz w:val="16"/>
              </w:rPr>
              <w:t>自分で自分を助ける　</w:t>
            </w:r>
            <w:r>
              <w:rPr>
                <w:rFonts w:hint="default" w:ascii="ＭＳ ゴシック" w:hAnsi="ＭＳ ゴシック" w:eastAsia="ＭＳ ゴシック"/>
                <w:sz w:val="16"/>
              </w:rPr>
              <w:t>○</w:t>
            </w:r>
            <w:r>
              <w:rPr>
                <w:rFonts w:hint="default" w:ascii="ＭＳ ゴシック" w:hAnsi="ＭＳ ゴシック" w:eastAsia="ＭＳ ゴシック"/>
                <w:sz w:val="16"/>
              </w:rPr>
              <w:t>自らの健康管理</w:t>
            </w:r>
            <w:r>
              <w:rPr>
                <w:rFonts w:hint="default" w:ascii="ＭＳ ゴシック" w:hAnsi="ＭＳ ゴシック" w:eastAsia="ＭＳ ゴシック"/>
                <w:sz w:val="16"/>
              </w:rPr>
              <w:t>(</w:t>
            </w:r>
            <w:r>
              <w:rPr>
                <w:rFonts w:hint="default" w:ascii="ＭＳ ゴシック" w:hAnsi="ＭＳ ゴシック" w:eastAsia="ＭＳ ゴシック"/>
                <w:sz w:val="16"/>
              </w:rPr>
              <w:t>セルフケア</w:t>
            </w:r>
            <w:r>
              <w:rPr>
                <w:rFonts w:hint="default" w:ascii="ＭＳ ゴシック" w:hAnsi="ＭＳ ゴシック" w:eastAsia="ＭＳ ゴシック"/>
                <w:sz w:val="16"/>
              </w:rPr>
              <w:t>)</w:t>
            </w:r>
            <w:r>
              <w:rPr>
                <w:rFonts w:hint="default" w:ascii="ＭＳ ゴシック" w:hAnsi="ＭＳ ゴシック" w:eastAsia="ＭＳ ゴシック"/>
                <w:sz w:val="16"/>
              </w:rPr>
              <w:t>　</w:t>
            </w:r>
            <w:r>
              <w:rPr>
                <w:rFonts w:hint="default" w:ascii="ＭＳ ゴシック" w:hAnsi="ＭＳ ゴシック" w:eastAsia="ＭＳ ゴシック"/>
                <w:sz w:val="16"/>
              </w:rPr>
              <w:t>○</w:t>
            </w:r>
            <w:r>
              <w:rPr>
                <w:rFonts w:hint="default" w:ascii="ＭＳ ゴシック" w:hAnsi="ＭＳ ゴシック" w:eastAsia="ＭＳ ゴシック"/>
                <w:sz w:val="16"/>
              </w:rPr>
              <w:t>市場サービスの利用</w:t>
            </w:r>
            <w:r>
              <w:rPr>
                <w:rFonts w:hint="eastAsia" w:ascii="ＭＳ ゴシック" w:hAnsi="ＭＳ ゴシック" w:eastAsia="ＭＳ ゴシック"/>
                <w:sz w:val="16"/>
              </w:rPr>
              <w:t>　○自発的に自身の生活課題を解決する力</w:t>
            </w:r>
          </w:p>
        </w:tc>
      </w:tr>
      <w:tr>
        <w:trPr/>
        <w:tc>
          <w:tcPr>
            <w:tcW w:w="709" w:type="dxa"/>
            <w:tcBorders>
              <w:top w:val="single" w:color="FFFFFF" w:themeColor="background1" w:sz="8" w:space="0"/>
              <w:left w:val="nil"/>
              <w:bottom w:val="single" w:color="FFFFFF" w:themeColor="background1" w:sz="8" w:space="0"/>
              <w:right w:val="single" w:color="FFFFFF" w:themeColor="background1" w:sz="8" w:space="0"/>
              <w:tl2br w:val="none" w:color="auto" w:sz="0" w:space="0"/>
              <w:tr2bl w:val="none" w:color="auto" w:sz="0" w:space="0"/>
            </w:tcBorders>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互助</w:t>
            </w:r>
          </w:p>
        </w:tc>
        <w:tc>
          <w:tcPr>
            <w:tcW w:w="9596" w:type="dxa"/>
            <w:tcBorders>
              <w:top w:val="single" w:color="FFFFFF" w:themeColor="background1" w:sz="8" w:space="0"/>
              <w:left w:val="single" w:color="FFFFFF" w:themeColor="background1" w:sz="8" w:space="0"/>
              <w:bottom w:val="single" w:color="FFFFFF" w:themeColor="background1" w:sz="8" w:space="0"/>
              <w:right w:val="nil"/>
              <w:tl2br w:val="none" w:color="auto" w:sz="0" w:space="0"/>
              <w:tr2bl w:val="none" w:color="auto" w:sz="0" w:space="0"/>
            </w:tcBorders>
            <w:shd w:val="clear" w:color="auto" w:themeFill="accent5" w:themeFillTint="66" w:themeFillShade="FF"/>
            <w:vAlign w:val="top"/>
          </w:tcPr>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インフォーマルな相互扶助。例えば近隣の助け合いやボランティア等</w:t>
            </w:r>
          </w:p>
          <w:p>
            <w:pPr>
              <w:pStyle w:val="0"/>
              <w:spacing w:line="240" w:lineRule="exact"/>
              <w:rPr>
                <w:rFonts w:hint="default" w:ascii="ＭＳ ゴシック" w:hAnsi="ＭＳ ゴシック" w:eastAsia="ＭＳ ゴシック"/>
                <w:sz w:val="16"/>
              </w:rPr>
            </w:pPr>
            <w:r>
              <w:rPr>
                <w:rFonts w:hint="default" w:ascii="ＭＳ ゴシック" w:hAnsi="ＭＳ ゴシック" w:eastAsia="ＭＳ ゴシック"/>
                <w:sz w:val="16"/>
              </w:rPr>
              <w:t>○</w:t>
            </w:r>
            <w:r>
              <w:rPr>
                <w:rFonts w:hint="default" w:ascii="ＭＳ ゴシック" w:hAnsi="ＭＳ ゴシック" w:eastAsia="ＭＳ ゴシック"/>
                <w:sz w:val="16"/>
              </w:rPr>
              <w:t>ボランティア活動　</w:t>
            </w:r>
            <w:r>
              <w:rPr>
                <w:rFonts w:hint="default" w:ascii="ＭＳ ゴシック" w:hAnsi="ＭＳ ゴシック" w:eastAsia="ＭＳ ゴシック"/>
                <w:sz w:val="16"/>
              </w:rPr>
              <w:t>○</w:t>
            </w:r>
            <w:r>
              <w:rPr>
                <w:rFonts w:hint="default" w:ascii="ＭＳ ゴシック" w:hAnsi="ＭＳ ゴシック" w:eastAsia="ＭＳ ゴシック"/>
                <w:sz w:val="16"/>
              </w:rPr>
              <w:t>住民相互の活動</w:t>
            </w:r>
          </w:p>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6"/>
              </w:rPr>
              <w:t>○家族、友人、クラブ活動仲間など個人的な関係性を持つ住民同士が助け合い、それぞれが抱える生活課題をお互いが解決する力</w:t>
            </w:r>
          </w:p>
        </w:tc>
      </w:tr>
      <w:tr>
        <w:trPr/>
        <w:tc>
          <w:tcPr>
            <w:tcW w:w="709" w:type="dxa"/>
            <w:tcBorders>
              <w:top w:val="single" w:color="FFFFFF" w:themeColor="background1" w:sz="8" w:space="0"/>
              <w:left w:val="nil"/>
              <w:bottom w:val="single" w:color="FFFFFF" w:themeColor="background1" w:sz="8" w:space="0"/>
              <w:right w:val="single" w:color="FFFFFF" w:themeColor="background1" w:sz="8" w:space="0"/>
              <w:tl2br w:val="none" w:color="auto" w:sz="0" w:space="0"/>
              <w:tr2bl w:val="none" w:color="auto" w:sz="0" w:space="0"/>
            </w:tcBorders>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共助</w:t>
            </w:r>
          </w:p>
        </w:tc>
        <w:tc>
          <w:tcPr>
            <w:tcW w:w="9596" w:type="dxa"/>
            <w:tcBorders>
              <w:top w:val="single" w:color="FFFFFF" w:themeColor="background1" w:sz="8" w:space="0"/>
              <w:left w:val="single" w:color="FFFFFF" w:themeColor="background1" w:sz="8" w:space="0"/>
              <w:bottom w:val="single" w:color="FFFFFF" w:themeColor="background1" w:sz="8" w:space="0"/>
              <w:right w:val="nil"/>
              <w:tl2br w:val="none" w:color="auto" w:sz="0" w:space="0"/>
              <w:tr2bl w:val="none" w:color="auto" w:sz="0" w:space="0"/>
            </w:tcBorders>
            <w:shd w:val="clear" w:color="auto" w:themeFill="accent5" w:themeFillTint="66" w:themeFillShade="FF"/>
            <w:vAlign w:val="top"/>
          </w:tcPr>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社会保障のような制度化された相互扶助</w:t>
            </w:r>
          </w:p>
          <w:p>
            <w:pPr>
              <w:pStyle w:val="0"/>
              <w:spacing w:line="240" w:lineRule="exact"/>
              <w:rPr>
                <w:rFonts w:hint="default" w:ascii="ＭＳ ゴシック" w:hAnsi="ＭＳ ゴシック" w:eastAsia="ＭＳ ゴシック"/>
                <w:sz w:val="18"/>
              </w:rPr>
            </w:pPr>
            <w:r>
              <w:rPr>
                <w:rFonts w:hint="default" w:ascii="ＭＳ ゴシック" w:hAnsi="ＭＳ ゴシック" w:eastAsia="ＭＳ ゴシック"/>
                <w:sz w:val="16"/>
              </w:rPr>
              <w:t>○</w:t>
            </w:r>
            <w:r>
              <w:rPr>
                <w:rFonts w:hint="default" w:ascii="ＭＳ ゴシック" w:hAnsi="ＭＳ ゴシック" w:eastAsia="ＭＳ ゴシック"/>
                <w:sz w:val="16"/>
              </w:rPr>
              <w:t>年金、介護保険、医療保険など社会保険制度及びサービス</w:t>
            </w:r>
          </w:p>
        </w:tc>
      </w:tr>
      <w:tr>
        <w:trPr/>
        <w:tc>
          <w:tcPr>
            <w:tcW w:w="709" w:type="dxa"/>
            <w:tcBorders>
              <w:top w:val="single" w:color="FFFFFF" w:themeColor="background1" w:sz="8" w:space="0"/>
              <w:left w:val="nil"/>
              <w:bottom w:val="nil"/>
              <w:right w:val="single" w:color="FFFFFF" w:themeColor="background1" w:sz="8" w:space="0"/>
              <w:tl2br w:val="none" w:color="auto" w:sz="0" w:space="0"/>
              <w:tr2bl w:val="none" w:color="auto" w:sz="0" w:space="0"/>
            </w:tcBorders>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b w:val="1"/>
                <w:color w:val="FFFFFF" w:themeColor="background1"/>
                <w:sz w:val="18"/>
              </w:rPr>
            </w:pPr>
            <w:r>
              <w:rPr>
                <w:rFonts w:hint="eastAsia" w:ascii="ＭＳ ゴシック" w:hAnsi="ＭＳ ゴシック" w:eastAsia="ＭＳ ゴシック"/>
                <w:b w:val="1"/>
                <w:color w:val="FFFFFF" w:themeColor="background1"/>
                <w:sz w:val="18"/>
              </w:rPr>
              <w:t>公助</w:t>
            </w:r>
          </w:p>
        </w:tc>
        <w:tc>
          <w:tcPr>
            <w:tcW w:w="9596" w:type="dxa"/>
            <w:tcBorders>
              <w:top w:val="single" w:color="FFFFFF" w:themeColor="background1" w:sz="8" w:space="0"/>
              <w:left w:val="single" w:color="FFFFFF" w:themeColor="background1" w:sz="8" w:space="0"/>
              <w:bottom w:val="nil"/>
              <w:right w:val="nil"/>
              <w:tl2br w:val="none" w:color="auto" w:sz="0" w:space="0"/>
              <w:tr2bl w:val="none" w:color="auto" w:sz="0" w:space="0"/>
            </w:tcBorders>
            <w:shd w:val="clear" w:color="auto" w:themeFill="accent5" w:themeFillTint="66" w:themeFillShade="FF"/>
            <w:vAlign w:val="top"/>
          </w:tcPr>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自助・互助・共助では対応できない困窮等の状況に対し、所得や生活水準・家庭状況等の受給要件を定めた上で必要な生活保障を行う社会福祉等</w:t>
            </w:r>
          </w:p>
        </w:tc>
      </w:tr>
    </w:tbl>
    <w:p>
      <w:pPr>
        <w:pStyle w:val="0"/>
        <w:rPr>
          <w:rFonts w:hint="default"/>
        </w:rPr>
      </w:pPr>
    </w:p>
    <w:p>
      <w:pPr>
        <w:rPr>
          <w:rFonts w:hint="default"/>
        </w:rPr>
        <w:sectPr>
          <w:pgSz w:w="11906" w:h="16838"/>
          <w:pgMar w:top="1440" w:right="1077" w:bottom="907" w:left="1077" w:header="851" w:footer="454" w:gutter="0"/>
          <w:cols w:space="720"/>
          <w:textDirection w:val="lrTb"/>
          <w:docGrid w:type="lines" w:linePitch="360"/>
        </w:sectPr>
      </w:pPr>
    </w:p>
    <w:p>
      <w:pPr>
        <w:pStyle w:val="4"/>
        <w:ind w:left="0" w:leftChars="0"/>
        <w:rPr>
          <w:rFonts w:hint="default" w:ascii="ＭＳ ゴシック" w:hAnsi="ＭＳ ゴシック" w:eastAsia="ＭＳ ゴシック"/>
          <w:b w:val="0"/>
          <w:sz w:val="28"/>
        </w:rPr>
      </w:pPr>
      <w:bookmarkStart w:id="99" w:name="_Toc59007812"/>
      <w:r>
        <w:rPr>
          <w:rFonts w:hint="eastAsia" w:ascii="ＭＳ ゴシック" w:hAnsi="ＭＳ ゴシック" w:eastAsia="ＭＳ ゴシック"/>
          <w:b w:val="0"/>
          <w:sz w:val="28"/>
        </w:rPr>
        <w:t>（１）地域共生社会と地域包括ケアシステムの関係性</w:t>
      </w:r>
      <w:bookmarkEnd w:id="99"/>
    </w:p>
    <w:p>
      <w:pPr>
        <w:pStyle w:val="0"/>
        <w:ind w:left="480" w:leftChars="100" w:hanging="240" w:hangingChars="100"/>
        <w:jc w:val="both"/>
        <w:rPr>
          <w:rFonts w:hint="default"/>
        </w:rPr>
      </w:pPr>
      <w:r>
        <w:rPr>
          <w:rFonts w:hint="eastAsia"/>
        </w:rPr>
        <w:t>○　国では、平成</w:t>
      </w:r>
      <w:r>
        <w:rPr>
          <w:rFonts w:hint="eastAsia"/>
        </w:rPr>
        <w:t>28</w:t>
      </w:r>
      <w:r>
        <w:rPr>
          <w:rFonts w:hint="eastAsia"/>
        </w:rPr>
        <w:t>年</w:t>
      </w:r>
      <w:r>
        <w:rPr>
          <w:rFonts w:hint="eastAsia"/>
        </w:rPr>
        <w:t>(2016</w:t>
      </w:r>
      <w:r>
        <w:rPr>
          <w:rFonts w:hint="eastAsia"/>
        </w:rPr>
        <w:t>年</w:t>
      </w:r>
      <w:r>
        <w:rPr>
          <w:rFonts w:hint="eastAsia"/>
        </w:rPr>
        <w:t>)</w:t>
      </w:r>
      <w:r>
        <w:rPr>
          <w:rFonts w:hint="eastAsia"/>
        </w:rPr>
        <w:t>７月に「我が事・丸ごと」地域共生社会の実現を目標として設定しました。地域共生社会は、これまで分野・対象者別に進められてきた縦割りの地域の支援の仕組みを見直し、地域への関心を高めた地域住民と縦割りをなくした行政が一緒になって、地域のすべての関係者が「我が事」として生活課題に「丸ごと」対応できるようになり、地域で孤立している住民を支えて行く地域の姿を、今後日本社会がめざすべきイメージとして提示しています。</w:t>
      </w:r>
    </w:p>
    <w:p>
      <w:pPr>
        <w:pStyle w:val="0"/>
        <w:ind w:left="480" w:hanging="480" w:hangingChars="200"/>
        <w:jc w:val="both"/>
        <w:rPr>
          <w:rFonts w:hint="default"/>
        </w:rPr>
      </w:pPr>
      <w:r>
        <w:rPr>
          <w:rFonts w:hint="eastAsia"/>
        </w:rPr>
        <w:t>　○　「我が事・丸ごと」地域共生社会の実現に向けた取組として示されている「地域の困りごとの総合相談窓口の設置」や「障害や介護におけるサービス資源の共有」などは、地域包括ケアシステムと共有できる地域の基盤であり、また地域包括ケアシステムがこれまでめざしてきた方針と合致します。高齢者分野から生まれた地域包括ケアシステムは、今後日本社会全体でめざすべき「地域共生社会」を実現するための「仕組み」であるといえます。</w:t>
      </w:r>
    </w:p>
    <w:p>
      <w:pPr>
        <w:pStyle w:val="0"/>
        <w:ind w:left="480" w:leftChars="100" w:hanging="240" w:hangingChars="100"/>
        <w:jc w:val="both"/>
        <w:rPr>
          <w:rFonts w:hint="default" w:ascii="ＭＳ ゴシック" w:hAnsi="ＭＳ ゴシック" w:eastAsia="ＭＳ ゴシック"/>
          <w:sz w:val="28"/>
        </w:rPr>
      </w:pPr>
      <w:r>
        <w:rPr>
          <w:rFonts w:hint="eastAsia"/>
        </w:rPr>
        <w:t>○　地域包括ケアシステムは、地域の実情に応じて、高齢者が可能な限り、住み慣れた地域で自立した日常生活を営むことができるように、医療、介護、介護予防、住まい及び自立した日常生活の支援が包括的に確保される体制として位置づけられましたが、高齢者に限らず、障害者や子どもを含めた地域のすべての住民を対象とし、地域包括ケアシステムの「必要な支援を包括的に確保する」という理念を普遍化し、支え合いの地域づくりを進めることが求められています。そのためには、地域の中で困っている住民の問題を我が事と受け止めるといった我が事の意識を醸成する働きかけなど、市が施策として積極的に取り組むことが重要です。地域包括ケアシステムの推進は、地域共生社会の実現という目標達成に欠かせないものといえます。</w:t>
      </w:r>
    </w:p>
    <w:p>
      <w:pPr>
        <w:pStyle w:val="0"/>
        <w:ind w:left="480" w:leftChars="100" w:hanging="240" w:hangingChars="100"/>
        <w:rPr>
          <w:rFonts w:hint="default"/>
        </w:rPr>
      </w:pPr>
    </w:p>
    <w:p>
      <w:pPr>
        <w:pStyle w:val="4"/>
        <w:ind w:left="0" w:leftChars="0"/>
        <w:jc w:val="both"/>
        <w:rPr>
          <w:rFonts w:hint="default" w:ascii="ＭＳ ゴシック" w:hAnsi="ＭＳ ゴシック" w:eastAsia="ＭＳ ゴシック"/>
          <w:b w:val="0"/>
          <w:sz w:val="28"/>
        </w:rPr>
      </w:pPr>
      <w:bookmarkStart w:id="100" w:name="_Toc59007813"/>
      <w:r>
        <w:rPr>
          <w:rFonts w:hint="eastAsia" w:ascii="ＭＳ ゴシック" w:hAnsi="ＭＳ ゴシック" w:eastAsia="ＭＳ ゴシック"/>
          <w:b w:val="0"/>
          <w:sz w:val="28"/>
        </w:rPr>
        <w:t>（２）地域包括支援センターの機能・体制強化</w:t>
      </w:r>
      <w:bookmarkEnd w:id="100"/>
    </w:p>
    <w:p>
      <w:pPr>
        <w:pStyle w:val="5"/>
        <w:ind w:left="0" w:leftChars="0" w:firstLine="240" w:firstLineChars="100"/>
        <w:jc w:val="both"/>
        <w:rPr>
          <w:rFonts w:hint="default" w:ascii="ＭＳ ゴシック" w:hAnsi="ＭＳ ゴシック" w:eastAsia="ＭＳ ゴシック"/>
        </w:rPr>
      </w:pPr>
      <w:bookmarkStart w:id="101" w:name="_Toc59007814"/>
      <w:r>
        <w:rPr>
          <w:rFonts w:hint="eastAsia" w:ascii="ＭＳ ゴシック" w:hAnsi="ＭＳ ゴシック" w:eastAsia="ＭＳ ゴシック"/>
        </w:rPr>
        <w:t>ア）基幹型・機能強化型・従来型地域包括支援センターの設置</w:t>
      </w:r>
      <w:bookmarkEnd w:id="101"/>
    </w:p>
    <w:p>
      <w:pPr>
        <w:pStyle w:val="0"/>
        <w:ind w:left="480" w:leftChars="100" w:hanging="240" w:hangingChars="100"/>
        <w:jc w:val="both"/>
        <w:rPr>
          <w:rFonts w:hint="default"/>
        </w:rPr>
      </w:pPr>
      <w:r>
        <w:rPr>
          <w:rFonts w:hint="eastAsia"/>
        </w:rPr>
        <w:t>○　平成</w:t>
      </w:r>
      <w:r>
        <w:rPr>
          <w:rFonts w:hint="eastAsia"/>
        </w:rPr>
        <w:t>30</w:t>
      </w:r>
      <w:r>
        <w:rPr>
          <w:rFonts w:hint="eastAsia"/>
        </w:rPr>
        <w:t>年度（</w:t>
      </w:r>
      <w:r>
        <w:rPr>
          <w:rFonts w:hint="eastAsia"/>
        </w:rPr>
        <w:t>2018</w:t>
      </w:r>
      <w:r>
        <w:rPr>
          <w:rFonts w:hint="eastAsia"/>
        </w:rPr>
        <w:t>年度）から市直営の地域包括支援センターを含めた５センターは、さらなる地域包括ケアシステムの充実をめざし、高齢化の進展やそれに伴う相談件数の増加等への対応、更には「在宅医療・介護連携」、「認知症施策の推進」、「地域ケア会議の充実」、「総合事業の推進」などに取り組んでいます。</w:t>
      </w:r>
      <w:r>
        <w:rPr>
          <w:rFonts w:hint="eastAsia"/>
          <w:color w:val="000000" w:themeColor="text1"/>
        </w:rPr>
        <w:t>これらの事業を効果的に推進するため、特に地域のつながり強化という観点から、地域包括支援センターが、居宅介護支援事業所や介護施設など、地域の既存の社会資源と効果的に連携して、地域における相談支援の機能を強化していくことが必要です。</w:t>
      </w:r>
    </w:p>
    <w:p>
      <w:pPr>
        <w:pStyle w:val="0"/>
        <w:ind w:left="480" w:leftChars="100" w:hanging="240" w:hangingChars="100"/>
        <w:jc w:val="both"/>
        <w:rPr>
          <w:rFonts w:hint="default"/>
        </w:rPr>
      </w:pPr>
      <w:r>
        <w:rPr>
          <w:rFonts w:hint="eastAsia"/>
        </w:rPr>
        <w:t>○　市直営の地域包括支援センターは、基幹型センターとして、各センター間の総合調整会議や人材育成支援のための研修の開催、地域包括ケアシステムの構築・推進を目的とした医療・介護の連携体制の構築、困難事例への相談支援等、活動推進のための体制維持・強化を行います。また、市域全体にかかわる課題の把握と、施策展開のコントロールタワーとしての役割を担い、業務評価を行うことで、センターのスキルアップを図ります。</w:t>
      </w:r>
    </w:p>
    <w:p>
      <w:pPr>
        <w:pStyle w:val="0"/>
        <w:ind w:left="480" w:leftChars="100" w:hanging="240" w:hangingChars="100"/>
        <w:jc w:val="both"/>
        <w:rPr>
          <w:rFonts w:hint="default"/>
        </w:rPr>
      </w:pPr>
      <w:r>
        <w:rPr>
          <w:rFonts w:hint="eastAsia"/>
        </w:rPr>
        <w:t>○　また、市直営の地域包括支援センターは、機能強化型センターとして、認知症の予防と啓発を図る認知症施策の推進や、成年後見制度の推進を図り、高齢者虐待への対応など個別分野における各センターの困難ケースについて後方支援を行います。</w:t>
      </w:r>
    </w:p>
    <w:p>
      <w:pPr>
        <w:pStyle w:val="0"/>
        <w:ind w:left="480" w:leftChars="100" w:hanging="240" w:hangingChars="100"/>
        <w:jc w:val="both"/>
        <w:rPr>
          <w:rFonts w:hint="default"/>
        </w:rPr>
      </w:pPr>
      <w:r>
        <w:rPr>
          <w:rFonts w:hint="eastAsia"/>
        </w:rPr>
        <w:t>○　市直営の地域包括支援センターを含めた５センターは、従来型センターとして、高齢者が住み慣れた地域で安心してその人らしい生活を継続していくことができるよう必要な支援を行う総合相談支援業務、専門的・継続的な視点からの支援を行う権利擁護業務、地域における連携・協働の体制づくりや個々の介護支援専門員に対する支援等を行う包括的・継続的ケアマネジメント支援業務、高齢者の心身状況等に応じて適切な事業が包括的効率的に実施されるよう介護予防支援・介護予防ケアマネジメント業務を行います。</w:t>
      </w:r>
    </w:p>
    <w:p>
      <w:pPr>
        <w:pStyle w:val="0"/>
        <w:ind w:left="480" w:leftChars="100" w:hanging="240" w:hangingChars="100"/>
        <w:jc w:val="both"/>
        <w:rPr>
          <w:rFonts w:hint="default"/>
        </w:rPr>
      </w:pPr>
      <w:r>
        <w:rPr>
          <w:rFonts w:hint="eastAsia"/>
        </w:rPr>
        <w:t>○　今後増加が見込まれる高齢者単身世帯や高齢夫婦のみの世帯をはじめとする市民にとって</w:t>
      </w:r>
      <w:r>
        <w:rPr>
          <w:rFonts w:hint="eastAsia"/>
          <w:b w:val="1"/>
        </w:rPr>
        <w:t>、</w:t>
      </w:r>
      <w:r>
        <w:rPr>
          <w:rFonts w:hint="eastAsia"/>
        </w:rPr>
        <w:t>地域包括支援センターがより身近な相談窓口となるよう、センターの取組についての周知・啓発を一層推進していきます。</w:t>
      </w:r>
    </w:p>
    <w:p>
      <w:pPr>
        <w:pStyle w:val="0"/>
        <w:ind w:left="480" w:leftChars="100" w:hanging="240" w:hangingChars="100"/>
        <w:rPr>
          <w:rFonts w:hint="default"/>
        </w:rPr>
      </w:pPr>
    </w:p>
    <w:p>
      <w:pPr>
        <w:pStyle w:val="5"/>
        <w:ind w:left="0" w:leftChars="0" w:firstLine="240" w:firstLineChars="100"/>
        <w:jc w:val="both"/>
        <w:rPr>
          <w:rFonts w:hint="default" w:ascii="ＭＳ ゴシック" w:hAnsi="ＭＳ ゴシック" w:eastAsia="ＭＳ ゴシック"/>
        </w:rPr>
      </w:pPr>
      <w:bookmarkStart w:id="102" w:name="_Toc59007815"/>
      <w:r>
        <w:rPr>
          <w:rFonts w:hint="eastAsia" w:ascii="ＭＳ ゴシック" w:hAnsi="ＭＳ ゴシック" w:eastAsia="ＭＳ ゴシック"/>
        </w:rPr>
        <w:t>イ）地域包括支援センターの適切な運営及び評価</w:t>
      </w:r>
      <w:r>
        <w:rPr>
          <w:rFonts w:hint="eastAsia" w:ascii="ＭＳ ゴシック" w:hAnsi="ＭＳ ゴシック" w:eastAsia="ＭＳ ゴシック"/>
          <w:color w:val="000000" w:themeColor="text1"/>
        </w:rPr>
        <w:t>並びに体制の強化</w:t>
      </w:r>
      <w:bookmarkEnd w:id="102"/>
    </w:p>
    <w:p>
      <w:pPr>
        <w:pStyle w:val="0"/>
        <w:ind w:left="480" w:leftChars="100" w:hanging="240" w:hangingChars="100"/>
        <w:jc w:val="both"/>
        <w:rPr>
          <w:rFonts w:hint="default"/>
        </w:rPr>
      </w:pPr>
      <w:r>
        <w:rPr>
          <w:rFonts w:hint="eastAsia"/>
        </w:rPr>
        <w:t>○　地域包括支援センターの活動については、各従来型センターの自己評価とともに基幹型センターが業務評価を行います。国における評価指標に併せて市独自評価指標を設定し、その指標に基づき「箕面市介護サービス評価専門員会議」において継続的に評価点検を行い、公正・中立的な運用とセンターの質の向上のための必要な改善を図ります。</w:t>
      </w:r>
    </w:p>
    <w:p>
      <w:pPr>
        <w:pStyle w:val="0"/>
        <w:ind w:left="480" w:leftChars="100" w:hanging="240" w:hangingChars="100"/>
        <w:jc w:val="both"/>
        <w:rPr>
          <w:rFonts w:hint="default"/>
        </w:rPr>
      </w:pPr>
      <w:r>
        <w:rPr>
          <w:rFonts w:hint="eastAsia"/>
          <w:color w:val="000000" w:themeColor="text1"/>
        </w:rPr>
        <w:t>○　今後の高齢化の進展等に伴って増加するニーズに適切に対応する観点から、機能や体制の強化を図ります。</w:t>
      </w:r>
    </w:p>
    <w:p>
      <w:pPr>
        <w:pStyle w:val="0"/>
        <w:ind w:left="480" w:leftChars="100" w:hanging="240" w:hangingChars="10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103" w:name="_Toc59007816"/>
      <w:r>
        <w:rPr>
          <w:rFonts w:hint="eastAsia" w:ascii="ＭＳ ゴシック" w:hAnsi="ＭＳ ゴシック" w:eastAsia="ＭＳ ゴシック"/>
        </w:rPr>
        <w:t>ウ）地域包括支援センター職員の人材育成</w:t>
      </w:r>
      <w:bookmarkEnd w:id="103"/>
    </w:p>
    <w:p>
      <w:pPr>
        <w:pStyle w:val="0"/>
        <w:ind w:left="480" w:leftChars="100" w:hanging="240" w:hangingChars="100"/>
        <w:jc w:val="both"/>
        <w:rPr>
          <w:rFonts w:hint="default"/>
        </w:rPr>
      </w:pPr>
      <w:r>
        <w:rPr>
          <w:rFonts w:hint="eastAsia"/>
        </w:rPr>
        <w:t>○　地域包括支援センターにおいて対応している高齢者等の生活課題が多様化・複雑化する中で、適切に対処できるよう、研修の機会を確保します。また、厚生労働省が運用する介護サービス情報公表システムを活用するなど情報提供の充実を図り、併せて地域包括支援センター職員のスキルアップへの支援を進めます。</w:t>
      </w:r>
    </w:p>
    <w:p>
      <w:pPr>
        <w:pStyle w:val="0"/>
        <w:ind w:left="480" w:leftChars="100" w:hanging="240" w:hangingChars="10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104" w:name="_Toc59007817"/>
      <w:r>
        <w:rPr>
          <w:rFonts w:hint="eastAsia" w:ascii="ＭＳ ゴシック" w:hAnsi="ＭＳ ゴシック" w:eastAsia="ＭＳ ゴシック"/>
        </w:rPr>
        <w:t>エ）地域ケア会議の充実に向けた内容や機能の明確化</w:t>
      </w:r>
      <w:bookmarkEnd w:id="104"/>
    </w:p>
    <w:p>
      <w:pPr>
        <w:pStyle w:val="0"/>
        <w:ind w:left="480" w:leftChars="100" w:hanging="240" w:hangingChars="100"/>
        <w:jc w:val="both"/>
        <w:rPr>
          <w:rFonts w:hint="default"/>
        </w:rPr>
      </w:pPr>
      <w:r>
        <w:rPr>
          <w:rFonts w:hint="eastAsia"/>
        </w:rPr>
        <w:t>○　市は、ケアマネジャー、保健医療福祉に関する専門的知識を有するかた、民生委員・児童委員その他関係者、関係機関及び関係団体により構成される会議（以下、「地域ケア会議」という。）の設置に努めなければならないとされています。</w:t>
      </w:r>
    </w:p>
    <w:p>
      <w:pPr>
        <w:pStyle w:val="0"/>
        <w:ind w:left="480" w:leftChars="100" w:hanging="240" w:hangingChars="100"/>
        <w:jc w:val="both"/>
        <w:rPr>
          <w:rFonts w:hint="default"/>
        </w:rPr>
      </w:pPr>
      <w:r>
        <w:rPr>
          <w:rFonts w:hint="eastAsia"/>
        </w:rPr>
        <w:t>○　地域ケア会議には、「個別課題の解決」、「地域包括支援ネットワークの構築」、「地域課題の発見」、「地域づくり、資源開発」、「</w:t>
      </w:r>
      <w:r>
        <w:rPr>
          <w:rFonts w:hint="eastAsia"/>
          <w:color w:val="000000" w:themeColor="text1"/>
        </w:rPr>
        <w:t>政</w:t>
      </w:r>
      <w:r>
        <w:rPr>
          <w:rFonts w:hint="eastAsia"/>
        </w:rPr>
        <w:t>策の形成」の５つの機能があり、この５つの機能を推進し、高齢者個人への支援の充実とそれを支える社会基盤の整備を同時に図ることが重要です。</w:t>
      </w:r>
      <w:r>
        <w:rPr>
          <w:rFonts w:hint="eastAsia"/>
          <w:color w:val="000000" w:themeColor="text1"/>
        </w:rPr>
        <w:t>（図表</w:t>
      </w:r>
      <w:r>
        <w:rPr>
          <w:rFonts w:hint="eastAsia"/>
          <w:color w:val="000000" w:themeColor="text1"/>
        </w:rPr>
        <w:t>86</w:t>
      </w:r>
      <w:r>
        <w:rPr>
          <w:rFonts w:hint="eastAsia"/>
          <w:color w:val="000000" w:themeColor="text1"/>
        </w:rPr>
        <w:t>参照）</w:t>
      </w:r>
    </w:p>
    <w:p>
      <w:pPr>
        <w:pStyle w:val="0"/>
        <w:ind w:left="480" w:leftChars="100" w:hanging="240" w:hangingChars="100"/>
        <w:jc w:val="both"/>
        <w:rPr>
          <w:rFonts w:hint="default"/>
        </w:rPr>
      </w:pPr>
      <w:r>
        <w:rPr>
          <w:rFonts w:hint="eastAsia"/>
        </w:rPr>
        <w:t>○　個別課題解決機能を持つ地域ケア会議として、次の３つの形態の会議を従来型センターが主催します。</w:t>
      </w:r>
    </w:p>
    <w:p>
      <w:pPr>
        <w:pStyle w:val="0"/>
        <w:ind w:left="240" w:hanging="240" w:hangingChars="100"/>
        <w:jc w:val="both"/>
        <w:rPr>
          <w:rFonts w:hint="default" w:ascii="ＭＳ ゴシック" w:hAnsi="ＭＳ ゴシック" w:eastAsia="ＭＳ ゴシック"/>
        </w:rPr>
      </w:pPr>
      <w:r>
        <w:rPr>
          <w:rFonts w:hint="eastAsia" w:ascii="ＭＳ ゴシック" w:hAnsi="ＭＳ ゴシック" w:eastAsia="ＭＳ ゴシック"/>
        </w:rPr>
        <w:t>　　　①自立支援型個別会議</w:t>
      </w:r>
    </w:p>
    <w:p>
      <w:pPr>
        <w:pStyle w:val="0"/>
        <w:ind w:left="960" w:leftChars="400" w:firstLine="240" w:firstLineChars="100"/>
        <w:jc w:val="both"/>
        <w:rPr>
          <w:rFonts w:hint="default"/>
          <w:u w:val="single" w:color="auto"/>
        </w:rPr>
      </w:pPr>
      <w:r>
        <w:rPr>
          <w:rFonts w:hint="eastAsia"/>
        </w:rPr>
        <w:t>運動器疾患を中心に、認知症や脳血管疾患、呼吸器疾患など様々な疾患の高齢者に対して、市医療職（理学療法士・作業療法士）等が関与し、個々の症状や生活状況に応じ、自立支援・介護予防の観点から適切なサービスの導入について検討します。</w:t>
      </w:r>
    </w:p>
    <w:p>
      <w:pPr>
        <w:pStyle w:val="0"/>
        <w:ind w:left="240" w:hanging="240" w:hangingChars="100"/>
        <w:jc w:val="both"/>
        <w:rPr>
          <w:rFonts w:hint="default" w:ascii="ＭＳ ゴシック" w:hAnsi="ＭＳ ゴシック" w:eastAsia="ＭＳ ゴシック"/>
          <w:shd w:val="pct15" w:color="auto" w:fill="auto"/>
        </w:rPr>
      </w:pPr>
      <w:r>
        <w:rPr>
          <w:rFonts w:hint="eastAsia"/>
        </w:rPr>
        <w:t>　　</w:t>
      </w:r>
      <w:r>
        <w:rPr>
          <w:rFonts w:hint="eastAsia" w:ascii="ＭＳ ゴシック" w:hAnsi="ＭＳ ゴシック" w:eastAsia="ＭＳ ゴシック"/>
        </w:rPr>
        <w:t>　②地域ケア個別会議</w:t>
      </w:r>
    </w:p>
    <w:p>
      <w:pPr>
        <w:pStyle w:val="0"/>
        <w:ind w:left="960" w:leftChars="400" w:firstLine="240" w:firstLineChars="100"/>
        <w:jc w:val="both"/>
        <w:rPr>
          <w:rFonts w:hint="default"/>
          <w:shd w:val="pct15" w:color="auto" w:fill="auto"/>
        </w:rPr>
      </w:pPr>
      <w:r>
        <w:rPr>
          <w:rFonts w:hint="eastAsia"/>
        </w:rPr>
        <w:t>認知症高齢者等、家族の協力が得られない要介護者、ゴミ屋敷など支援者が困難を感じている事例、支援が自立を阻害していると考えられる事例、必要な支援につながっていない事例、権利擁護が必要な事例、地域課題に関する事例に対して、多様な視点で支援方針を検討します。</w:t>
      </w:r>
    </w:p>
    <w:p>
      <w:pPr>
        <w:pStyle w:val="0"/>
        <w:ind w:left="240" w:hanging="240" w:hangingChars="100"/>
        <w:jc w:val="both"/>
        <w:rPr>
          <w:rFonts w:hint="default" w:ascii="ＭＳ ゴシック" w:hAnsi="ＭＳ ゴシック" w:eastAsia="ＭＳ ゴシック"/>
          <w:shd w:val="pct15" w:color="auto" w:fill="auto"/>
        </w:rPr>
      </w:pPr>
      <w:r>
        <w:rPr>
          <w:rFonts w:hint="eastAsia" w:ascii="ＭＳ ゴシック" w:hAnsi="ＭＳ ゴシック" w:eastAsia="ＭＳ ゴシック"/>
        </w:rPr>
        <w:t>　　　③虐待事案個別会議</w:t>
      </w:r>
    </w:p>
    <w:p>
      <w:pPr>
        <w:pStyle w:val="0"/>
        <w:ind w:left="960" w:hanging="960" w:hangingChars="400"/>
        <w:jc w:val="both"/>
        <w:rPr>
          <w:rFonts w:hint="default"/>
        </w:rPr>
      </w:pPr>
      <w:r>
        <w:rPr>
          <w:rFonts w:hint="eastAsia"/>
        </w:rPr>
        <w:t>　　　　　虐待が疑われる事案について、市が虐待の有無を判断した後、高齢者及び家族に対する支援方針を検討し、対応方針に沿って見守りやサービスの提供などの対応を実施します。</w:t>
      </w:r>
    </w:p>
    <w:p>
      <w:pPr>
        <w:pStyle w:val="0"/>
        <w:ind w:left="480" w:leftChars="100" w:hanging="240" w:hangingChars="100"/>
        <w:jc w:val="both"/>
        <w:rPr>
          <w:rFonts w:hint="default"/>
        </w:rPr>
      </w:pPr>
    </w:p>
    <w:p>
      <w:pPr>
        <w:pStyle w:val="0"/>
        <w:ind w:left="480" w:leftChars="100" w:hanging="240" w:hangingChars="100"/>
        <w:jc w:val="both"/>
        <w:rPr>
          <w:rFonts w:hint="default"/>
        </w:rPr>
      </w:pPr>
      <w:r>
        <w:rPr>
          <w:rFonts w:hint="eastAsia"/>
        </w:rPr>
        <w:t>○　地域課題発見機能やネットワーク構築機能を持つ地域ケア会議として、次の３つの形態の会議を市が主催します。</w:t>
      </w:r>
    </w:p>
    <w:p>
      <w:pPr>
        <w:pStyle w:val="0"/>
        <w:ind w:left="720" w:hanging="720" w:hangingChars="300"/>
        <w:jc w:val="both"/>
        <w:rPr>
          <w:rFonts w:hint="default" w:ascii="ＭＳ ゴシック" w:hAnsi="ＭＳ ゴシック" w:eastAsia="ＭＳ ゴシック"/>
        </w:rPr>
      </w:pPr>
      <w:r>
        <w:rPr>
          <w:rFonts w:hint="eastAsia" w:ascii="ＭＳ ゴシック" w:hAnsi="ＭＳ ゴシック" w:eastAsia="ＭＳ ゴシック"/>
        </w:rPr>
        <w:t>　　　①多職種連携元気サポート会議</w:t>
      </w:r>
    </w:p>
    <w:p>
      <w:pPr>
        <w:pStyle w:val="0"/>
        <w:ind w:left="960" w:hanging="960" w:hangingChars="400"/>
        <w:jc w:val="both"/>
        <w:rPr>
          <w:rFonts w:hint="default"/>
        </w:rPr>
      </w:pPr>
      <w:r>
        <w:rPr>
          <w:rFonts w:hint="eastAsia"/>
        </w:rPr>
        <w:t>　　　　　事業対象者から要支援者、要介護者までを対象とし、自立に向けたサービス利</w:t>
      </w:r>
    </w:p>
    <w:p>
      <w:pPr>
        <w:pStyle w:val="0"/>
        <w:ind w:left="960" w:leftChars="400"/>
        <w:jc w:val="both"/>
        <w:rPr>
          <w:rFonts w:hint="default"/>
        </w:rPr>
      </w:pPr>
      <w:r>
        <w:rPr>
          <w:rFonts w:hint="eastAsia"/>
        </w:rPr>
        <w:t>用案の検討や目標設定などを、多職種が連携して検討し、自立支援を推進します。自立支援型個別会議や市医療職による訪問指導及び事例検討から把握された地域課題について、意見交換や情報共有を行います。</w:t>
      </w:r>
    </w:p>
    <w:p>
      <w:pPr>
        <w:pStyle w:val="0"/>
        <w:ind w:left="720" w:hanging="720" w:hangingChars="300"/>
        <w:jc w:val="both"/>
        <w:rPr>
          <w:rFonts w:hint="default" w:ascii="ＭＳ ゴシック" w:hAnsi="ＭＳ ゴシック" w:eastAsia="ＭＳ ゴシック"/>
        </w:rPr>
      </w:pPr>
      <w:r>
        <w:rPr>
          <w:rFonts w:hint="eastAsia" w:ascii="ＭＳ ゴシック" w:hAnsi="ＭＳ ゴシック" w:eastAsia="ＭＳ ゴシック"/>
        </w:rPr>
        <w:t>　　　②地域ケアレビュー会議</w:t>
      </w:r>
    </w:p>
    <w:p>
      <w:pPr>
        <w:pStyle w:val="0"/>
        <w:ind w:left="960" w:hanging="960" w:hangingChars="400"/>
        <w:jc w:val="both"/>
        <w:rPr>
          <w:rFonts w:hint="default"/>
        </w:rPr>
      </w:pPr>
      <w:r>
        <w:rPr>
          <w:rFonts w:hint="eastAsia"/>
        </w:rPr>
        <w:t>　　　　　地域ケア個別会議の個別事案を共有し、個別課題の解決や地域課題の解決に向けた検討を行い、地域資源の発掘や地域住民を含めた関係機関連携の充実を図ります。</w:t>
      </w:r>
    </w:p>
    <w:p>
      <w:pPr>
        <w:pStyle w:val="0"/>
        <w:ind w:left="720" w:hanging="720" w:hangingChars="300"/>
        <w:jc w:val="both"/>
        <w:rPr>
          <w:rFonts w:hint="default" w:ascii="ＭＳ ゴシック" w:hAnsi="ＭＳ ゴシック" w:eastAsia="ＭＳ ゴシック"/>
        </w:rPr>
      </w:pPr>
      <w:r>
        <w:rPr>
          <w:rFonts w:hint="eastAsia" w:ascii="ＭＳ ゴシック" w:hAnsi="ＭＳ ゴシック" w:eastAsia="ＭＳ ゴシック"/>
        </w:rPr>
        <w:t>　　　③虐待事案レビュー会議</w:t>
      </w:r>
    </w:p>
    <w:p>
      <w:pPr>
        <w:pStyle w:val="0"/>
        <w:ind w:left="960" w:leftChars="100" w:hanging="720" w:hangingChars="300"/>
        <w:jc w:val="both"/>
        <w:rPr>
          <w:rFonts w:hint="default"/>
        </w:rPr>
      </w:pPr>
      <w:r>
        <w:rPr>
          <w:rFonts w:hint="eastAsia"/>
        </w:rPr>
        <w:t>　　　　個々の事案について虐待解消の状況を評価し、支援方針・内容が適切であるか確認を行います。個別事案に共通する家族背景や病状等の課題と地域との関わり等の地域課題を検討し、虐待の再発防止と問題解決に努めます。</w:t>
      </w: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jc w:val="both"/>
        <w:rPr>
          <w:rFonts w:hint="default"/>
        </w:rPr>
      </w:pPr>
      <w:r>
        <w:rPr>
          <w:rFonts w:hint="eastAsia"/>
        </w:rPr>
        <w:t>○　地域課題発見機能やネットワーク構築機能、地域づくり、資源開発機能を持つ地域ケア会議として、次の２つの形態の会議を開催します。</w:t>
      </w:r>
    </w:p>
    <w:p>
      <w:pPr>
        <w:pStyle w:val="0"/>
        <w:ind w:left="960" w:leftChars="300" w:hanging="240" w:hangingChars="100"/>
        <w:jc w:val="both"/>
        <w:rPr>
          <w:rFonts w:hint="default"/>
        </w:rPr>
      </w:pPr>
      <w:r>
        <w:rPr>
          <w:rFonts w:hint="eastAsia" w:ascii="ＭＳ ゴシック" w:hAnsi="ＭＳ ゴシック" w:eastAsia="ＭＳ ゴシック"/>
        </w:rPr>
        <w:t>①取組会議（随時協議体）</w:t>
      </w:r>
    </w:p>
    <w:p>
      <w:pPr>
        <w:pStyle w:val="0"/>
        <w:ind w:left="960" w:leftChars="400" w:firstLine="240" w:firstLineChars="100"/>
        <w:jc w:val="both"/>
        <w:rPr>
          <w:rFonts w:hint="default"/>
        </w:rPr>
      </w:pPr>
      <w:r>
        <w:rPr>
          <w:rFonts w:hint="eastAsia"/>
        </w:rPr>
        <w:t>地域からの相談や課題に対し、地域のニーズを見極め、地域活動の活性化や地域課題を解決するための既存資源の充実及び新たな資源開発に向けた取組を行います。</w:t>
      </w:r>
    </w:p>
    <w:p>
      <w:pPr>
        <w:pStyle w:val="0"/>
        <w:ind w:left="960" w:leftChars="300" w:hanging="240" w:hangingChars="100"/>
        <w:jc w:val="both"/>
        <w:rPr>
          <w:rFonts w:hint="default"/>
        </w:rPr>
      </w:pPr>
      <w:r>
        <w:rPr>
          <w:rFonts w:hint="eastAsia" w:ascii="ＭＳ ゴシック" w:hAnsi="ＭＳ ゴシック" w:eastAsia="ＭＳ ゴシック"/>
        </w:rPr>
        <w:t>②ささえあい推進会議（第２層協議体）</w:t>
      </w:r>
    </w:p>
    <w:p>
      <w:pPr>
        <w:pStyle w:val="0"/>
        <w:ind w:left="960" w:leftChars="400" w:firstLine="240" w:firstLineChars="100"/>
        <w:jc w:val="both"/>
        <w:rPr>
          <w:rFonts w:hint="default"/>
        </w:rPr>
      </w:pPr>
      <w:r>
        <w:rPr>
          <w:rFonts w:hint="eastAsia"/>
        </w:rPr>
        <w:t>日常生活圏域ごとに開催し、地域アセスメントの結果に対する評価や、地域をより良くする視点での話し合い、地域課題の取りまとめや解決策の検討を行います。</w:t>
      </w:r>
    </w:p>
    <w:p>
      <w:pPr>
        <w:pStyle w:val="0"/>
        <w:ind w:left="480" w:leftChars="100" w:hanging="240" w:hangingChars="100"/>
        <w:jc w:val="both"/>
        <w:rPr>
          <w:rFonts w:hint="default"/>
        </w:rPr>
      </w:pPr>
    </w:p>
    <w:p>
      <w:pPr>
        <w:pStyle w:val="0"/>
        <w:ind w:left="480" w:leftChars="100" w:hanging="240" w:hangingChars="100"/>
        <w:jc w:val="both"/>
        <w:rPr>
          <w:rFonts w:hint="default"/>
        </w:rPr>
      </w:pPr>
      <w:r>
        <w:rPr>
          <w:rFonts w:hint="eastAsia"/>
        </w:rPr>
        <w:t>○　ネットワーク構築機能、地域づくり・資源開発機能を持つ地域ケア会議として、次の形態の会議を市が主催します。</w:t>
      </w:r>
    </w:p>
    <w:p>
      <w:pPr>
        <w:pStyle w:val="0"/>
        <w:ind w:firstLine="720" w:firstLineChars="300"/>
        <w:jc w:val="both"/>
        <w:rPr>
          <w:rFonts w:hint="default"/>
        </w:rPr>
      </w:pPr>
      <w:r>
        <w:rPr>
          <w:rFonts w:hint="eastAsia" w:ascii="ＭＳ ゴシック" w:hAnsi="ＭＳ ゴシック" w:eastAsia="ＭＳ ゴシック"/>
        </w:rPr>
        <w:t>①協議体会議（第１層協議体）</w:t>
      </w:r>
    </w:p>
    <w:p>
      <w:pPr>
        <w:pStyle w:val="0"/>
        <w:ind w:left="960" w:leftChars="400" w:firstLine="240" w:firstLineChars="100"/>
        <w:jc w:val="both"/>
        <w:rPr>
          <w:rFonts w:hint="default"/>
        </w:rPr>
      </w:pPr>
      <w:r>
        <w:rPr>
          <w:rFonts w:hint="eastAsia"/>
        </w:rPr>
        <w:t>各地域ケア会議等から集約された地域課題について、具体的な支援方法を共有・検討し、社会資源のニーズの把握、既存資源の拡充、新規資源の創出を行います。</w:t>
      </w:r>
    </w:p>
    <w:p>
      <w:pPr>
        <w:pStyle w:val="0"/>
        <w:ind w:left="480" w:leftChars="100" w:hanging="240" w:hangingChars="100"/>
        <w:jc w:val="both"/>
        <w:rPr>
          <w:rFonts w:hint="default"/>
        </w:rPr>
      </w:pPr>
    </w:p>
    <w:p>
      <w:pPr>
        <w:pStyle w:val="0"/>
        <w:ind w:left="480" w:leftChars="100" w:hanging="240" w:hangingChars="100"/>
        <w:jc w:val="both"/>
        <w:rPr>
          <w:rFonts w:hint="default"/>
        </w:rPr>
      </w:pPr>
      <w:r>
        <w:rPr>
          <w:rFonts w:hint="eastAsia"/>
        </w:rPr>
        <w:t>○　地域づくり・資源開発機能、政策形成機能を持つ地域ケア会議として、次の形態の会議を市が主催します。</w:t>
      </w:r>
    </w:p>
    <w:p>
      <w:pPr>
        <w:pStyle w:val="0"/>
        <w:ind w:left="960" w:leftChars="300" w:hanging="240" w:hangingChars="100"/>
        <w:jc w:val="both"/>
        <w:rPr>
          <w:rFonts w:hint="default"/>
        </w:rPr>
      </w:pPr>
      <w:r>
        <w:rPr>
          <w:rFonts w:hint="eastAsia" w:ascii="ＭＳ ゴシック" w:hAnsi="ＭＳ ゴシック" w:eastAsia="ＭＳ ゴシック"/>
        </w:rPr>
        <w:t>①介護サービス評価専門員会議</w:t>
      </w:r>
    </w:p>
    <w:p>
      <w:pPr>
        <w:pStyle w:val="0"/>
        <w:ind w:left="960" w:leftChars="400" w:firstLine="240" w:firstLineChars="100"/>
        <w:jc w:val="both"/>
        <w:rPr>
          <w:rFonts w:hint="default"/>
        </w:rPr>
      </w:pPr>
      <w:r>
        <w:rPr>
          <w:rFonts w:hint="eastAsia"/>
        </w:rPr>
        <w:t>協議体会議（第１層協議体）に集約された地域課題から、地域では解決できない市レベルでの検討が必要な事項について、専門員からの意見を聴取し、政策的対応が必要な課題を検討します。</w:t>
      </w:r>
    </w:p>
    <w:p>
      <w:pPr>
        <w:pStyle w:val="0"/>
        <w:ind w:left="960" w:leftChars="300" w:hanging="240" w:hangingChars="100"/>
        <w:jc w:val="both"/>
        <w:rPr>
          <w:rFonts w:hint="default"/>
        </w:rPr>
      </w:pPr>
      <w:r>
        <w:rPr>
          <w:rFonts w:hint="eastAsia" w:ascii="ＭＳ ゴシック" w:hAnsi="ＭＳ ゴシック" w:eastAsia="ＭＳ ゴシック"/>
        </w:rPr>
        <w:t>②保健医療福祉総合審議会</w:t>
      </w:r>
    </w:p>
    <w:p>
      <w:pPr>
        <w:pStyle w:val="0"/>
        <w:ind w:left="960" w:leftChars="400" w:firstLine="240" w:firstLineChars="100"/>
        <w:jc w:val="both"/>
        <w:rPr>
          <w:rFonts w:hint="default"/>
        </w:rPr>
      </w:pPr>
      <w:r>
        <w:rPr>
          <w:rFonts w:hint="eastAsia"/>
        </w:rPr>
        <w:t>市レベルでの検討が必要な事項について政策形成機能を発揮し、専門職及び委員からの意見を集約し、政策的対応が必要な課題に対する解決策を検討します。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br w:type="page"/>
      </w:r>
    </w:p>
    <w:p>
      <w:pPr>
        <w:pStyle w:val="0"/>
        <w:rPr>
          <w:rFonts w:hint="default" w:ascii="ＭＳ ゴシック" w:hAnsi="ＭＳ ゴシック" w:eastAsia="ＭＳ ゴシック"/>
          <w:sz w:val="28"/>
        </w:rPr>
      </w:pPr>
      <w:r>
        <w:rPr>
          <w:rFonts w:hint="eastAsia"/>
          <w:color w:val="000000" w:themeColor="text1"/>
        </w:rPr>
        <w:t>■</w:t>
      </w:r>
      <w:r>
        <w:rPr>
          <w:rFonts w:hint="eastAsia" w:ascii="ＭＳ ゴシック" w:hAnsi="ＭＳ ゴシック" w:eastAsia="ＭＳ ゴシック"/>
          <w:color w:val="000000" w:themeColor="text1"/>
        </w:rPr>
        <w:t>多職種が連携した地域ケア会議の開催</w:t>
      </w:r>
    </w:p>
    <w:tbl>
      <w:tblPr>
        <w:tblStyle w:val="11"/>
        <w:tblpPr w:leftFromText="142" w:rightFromText="142" w:topFromText="0" w:bottomFromText="0" w:vertAnchor="text" w:horzAnchor="text" w:tblpX="370" w:tblpY="95"/>
        <w:tblW w:w="9351" w:type="dxa"/>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9351"/>
      </w:tblGrid>
      <w:tr>
        <w:trPr>
          <w:trHeight w:val="36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both"/>
              <w:rPr>
                <w:rFonts w:hint="default" w:ascii="ＭＳ ゴシック" w:hAnsi="ＭＳ ゴシック" w:eastAsia="ＭＳ ゴシック"/>
                <w:sz w:val="20"/>
              </w:rPr>
            </w:pPr>
            <w:r>
              <w:rPr>
                <w:rFonts w:hint="eastAsia" w:ascii="ＭＳ ゴシック" w:hAnsi="ＭＳ ゴシック" w:eastAsia="ＭＳ ゴシック"/>
              </w:rPr>
              <w:t>個別課題解決機能</w:t>
            </w:r>
          </w:p>
        </w:tc>
      </w:tr>
      <w:tr>
        <w:trPr>
          <w:trHeight w:val="4216"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default"/>
              </w:rPr>
            </w:pPr>
            <w:r>
              <w:rPr>
                <w:rFonts w:hint="eastAsia"/>
              </w:rPr>
              <w:t>□</w:t>
            </w:r>
            <w:r>
              <w:rPr>
                <w:rFonts w:hint="eastAsia" w:ascii="ＭＳ ゴシック" w:hAnsi="ＭＳ ゴシック" w:eastAsia="ＭＳ ゴシック"/>
              </w:rPr>
              <w:t>自立支援型個別会議</w:t>
            </w:r>
            <w:r>
              <w:rPr>
                <w:rFonts w:hint="eastAsia"/>
              </w:rPr>
              <w:t>：随時開催</w:t>
            </w:r>
          </w:p>
          <w:p>
            <w:pPr>
              <w:pStyle w:val="0"/>
              <w:ind w:left="480" w:leftChars="200"/>
              <w:jc w:val="both"/>
              <w:rPr>
                <w:rFonts w:hint="default"/>
              </w:rPr>
            </w:pPr>
            <w:r>
              <w:rPr>
                <w:rFonts w:hint="eastAsia"/>
              </w:rPr>
              <w:t>（参加者）本人、家族、近隣住民、ケアマネジャー、地域包括支援センター職員、保健師、理学療法士、作業療法士、歯科衛生士、管理栄養士、サービス事業者等</w:t>
            </w:r>
          </w:p>
          <w:p>
            <w:pPr>
              <w:pStyle w:val="0"/>
              <w:jc w:val="both"/>
              <w:rPr>
                <w:rFonts w:hint="default"/>
              </w:rPr>
            </w:pPr>
            <w:r>
              <w:rPr>
                <w:rFonts w:hint="eastAsia"/>
              </w:rPr>
              <w:t>□</w:t>
            </w:r>
            <w:r>
              <w:rPr>
                <w:rFonts w:hint="eastAsia" w:ascii="ＭＳ ゴシック" w:hAnsi="ＭＳ ゴシック" w:eastAsia="ＭＳ ゴシック"/>
              </w:rPr>
              <w:t>地域ケア個別会議</w:t>
            </w:r>
            <w:r>
              <w:rPr>
                <w:rFonts w:hint="eastAsia"/>
              </w:rPr>
              <w:t>：随時開催</w:t>
            </w:r>
          </w:p>
          <w:p>
            <w:pPr>
              <w:pStyle w:val="0"/>
              <w:ind w:left="480" w:leftChars="200"/>
              <w:jc w:val="both"/>
              <w:rPr>
                <w:rFonts w:hint="default"/>
              </w:rPr>
            </w:pPr>
            <w:r>
              <w:rPr>
                <w:rFonts w:hint="eastAsia"/>
              </w:rPr>
              <w:t>（参加者）本人、家族、近隣住民、民生委員・児童委員、医師、保健師、理学療法士、作業療法士、弁護士、ケアマネジャー、地域包括支援センター職員、サービス事業者等、社会福祉協議会、成年後見人（社会福祉士など）、池田保健所（精神科医、精神保健福祉士）</w:t>
            </w:r>
          </w:p>
          <w:p>
            <w:pPr>
              <w:pStyle w:val="0"/>
              <w:jc w:val="both"/>
              <w:rPr>
                <w:rFonts w:hint="default"/>
              </w:rPr>
            </w:pPr>
            <w:r>
              <w:rPr>
                <w:rFonts w:hint="eastAsia"/>
              </w:rPr>
              <w:t>□</w:t>
            </w:r>
            <w:r>
              <w:rPr>
                <w:rFonts w:hint="eastAsia" w:ascii="ＭＳ ゴシック" w:hAnsi="ＭＳ ゴシック" w:eastAsia="ＭＳ ゴシック"/>
              </w:rPr>
              <w:t>虐待事案個別会議</w:t>
            </w:r>
            <w:r>
              <w:rPr>
                <w:rFonts w:hint="eastAsia"/>
              </w:rPr>
              <w:t>：随時開催</w:t>
            </w:r>
          </w:p>
          <w:p>
            <w:pPr>
              <w:pStyle w:val="0"/>
              <w:ind w:left="480" w:leftChars="100" w:hanging="240" w:hangingChars="100"/>
              <w:jc w:val="both"/>
              <w:rPr>
                <w:rFonts w:hint="default"/>
              </w:rPr>
            </w:pPr>
            <w:r>
              <w:rPr>
                <w:rFonts w:hint="eastAsia"/>
              </w:rPr>
              <w:t>　（参加者）本人、家族、民生委員・児童委員、医師、保健師、理学療法士、作業療法士、弁護士、ケアマネジャー、地域包括支援センター職員、サービス事業者等、池田保健所（保健師、精神保健福祉士）</w:t>
            </w:r>
          </w:p>
        </w:tc>
      </w:tr>
      <w:tr>
        <w:trPr>
          <w:trHeight w:val="36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both"/>
              <w:rPr>
                <w:rFonts w:hint="default" w:ascii="ＭＳ ゴシック" w:hAnsi="ＭＳ ゴシック" w:eastAsia="ＭＳ ゴシック"/>
              </w:rPr>
            </w:pPr>
            <w:r>
              <w:rPr>
                <w:rFonts w:hint="eastAsia" w:ascii="ＭＳ ゴシック" w:hAnsi="ＭＳ ゴシック" w:eastAsia="ＭＳ ゴシック"/>
              </w:rPr>
              <w:t>地域課題発見機能、ネットワーク構築機能</w:t>
            </w:r>
          </w:p>
        </w:tc>
      </w:tr>
      <w:tr>
        <w:trPr>
          <w:trHeight w:val="3656"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default"/>
              </w:rPr>
            </w:pPr>
            <w:r>
              <w:rPr>
                <w:rFonts w:hint="eastAsia"/>
              </w:rPr>
              <w:t>□</w:t>
            </w:r>
            <w:r>
              <w:rPr>
                <w:rFonts w:hint="eastAsia" w:ascii="ＭＳ ゴシック" w:hAnsi="ＭＳ ゴシック" w:eastAsia="ＭＳ ゴシック"/>
              </w:rPr>
              <w:t>多職種連携元気サポート会議</w:t>
            </w:r>
            <w:r>
              <w:rPr>
                <w:rFonts w:hint="eastAsia"/>
              </w:rPr>
              <w:t>：月１回開催</w:t>
            </w:r>
          </w:p>
          <w:p>
            <w:pPr>
              <w:pStyle w:val="0"/>
              <w:ind w:left="478" w:leftChars="99" w:hanging="240" w:hangingChars="100"/>
              <w:jc w:val="both"/>
              <w:rPr>
                <w:rFonts w:hint="default"/>
              </w:rPr>
            </w:pPr>
            <w:r>
              <w:rPr>
                <w:rFonts w:hint="eastAsia"/>
              </w:rPr>
              <w:t>（参加者）保健師、看護師、理学療法士、作業療法士、歯科衛生士、社会福祉士、ケアマネジャー、地域包括支援センター職員（三職種）、生活支援コーディネーター、事務職、サービス事業者等</w:t>
            </w:r>
          </w:p>
          <w:p>
            <w:pPr>
              <w:pStyle w:val="0"/>
              <w:ind w:firstLine="240" w:firstLineChars="100"/>
              <w:jc w:val="both"/>
              <w:rPr>
                <w:rFonts w:hint="default"/>
              </w:rPr>
            </w:pPr>
            <w:r>
              <w:rPr>
                <w:rFonts w:hint="eastAsia"/>
              </w:rPr>
              <w:t>（アドバイザー）医師、歯科医師、薬剤師、管理栄養士等</w:t>
            </w:r>
          </w:p>
          <w:p>
            <w:pPr>
              <w:pStyle w:val="0"/>
              <w:jc w:val="both"/>
              <w:rPr>
                <w:rFonts w:hint="default"/>
              </w:rPr>
            </w:pPr>
            <w:r>
              <w:rPr>
                <w:rFonts w:hint="eastAsia"/>
              </w:rPr>
              <w:t>□</w:t>
            </w:r>
            <w:r>
              <w:rPr>
                <w:rFonts w:hint="eastAsia" w:ascii="ＭＳ ゴシック" w:hAnsi="ＭＳ ゴシック" w:eastAsia="ＭＳ ゴシック"/>
              </w:rPr>
              <w:t>地域ケアレビュー会議</w:t>
            </w:r>
            <w:r>
              <w:rPr>
                <w:rFonts w:hint="eastAsia"/>
              </w:rPr>
              <w:t>：年３回開催</w:t>
            </w:r>
          </w:p>
          <w:p>
            <w:pPr>
              <w:pStyle w:val="0"/>
              <w:ind w:left="480" w:leftChars="100" w:hanging="240" w:hangingChars="100"/>
              <w:jc w:val="both"/>
              <w:rPr>
                <w:rFonts w:hint="default"/>
              </w:rPr>
            </w:pPr>
            <w:r>
              <w:rPr>
                <w:rFonts w:hint="eastAsia"/>
              </w:rPr>
              <w:t>（参加者）保健師、看護師、社会福祉士、主任ケアマネジャー等</w:t>
            </w:r>
          </w:p>
          <w:p>
            <w:pPr>
              <w:pStyle w:val="0"/>
              <w:jc w:val="both"/>
              <w:rPr>
                <w:rFonts w:hint="default"/>
              </w:rPr>
            </w:pPr>
            <w:r>
              <w:rPr>
                <w:rFonts w:hint="eastAsia"/>
              </w:rPr>
              <w:t>□</w:t>
            </w:r>
            <w:r>
              <w:rPr>
                <w:rFonts w:hint="eastAsia" w:ascii="ＭＳ ゴシック" w:hAnsi="ＭＳ ゴシック" w:eastAsia="ＭＳ ゴシック"/>
              </w:rPr>
              <w:t>虐待事案レビュー会議</w:t>
            </w:r>
            <w:r>
              <w:rPr>
                <w:rFonts w:hint="eastAsia"/>
              </w:rPr>
              <w:t>：年３回開催　</w:t>
            </w:r>
          </w:p>
          <w:p>
            <w:pPr>
              <w:pStyle w:val="0"/>
              <w:ind w:left="480" w:leftChars="100" w:hanging="240" w:hangingChars="100"/>
              <w:jc w:val="both"/>
              <w:rPr>
                <w:rFonts w:hint="default"/>
              </w:rPr>
            </w:pPr>
            <w:r>
              <w:rPr>
                <w:rFonts w:hint="eastAsia"/>
              </w:rPr>
              <w:t>（参加者）医師、保健師、看護師、社会福祉士、主任ケアマネジャー等、池田保健所（精神保健福祉士）</w:t>
            </w:r>
          </w:p>
        </w:tc>
      </w:tr>
      <w:tr>
        <w:trPr>
          <w:trHeight w:val="36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both"/>
              <w:rPr>
                <w:rFonts w:hint="default" w:ascii="ＭＳ ゴシック" w:hAnsi="ＭＳ ゴシック" w:eastAsia="ＭＳ ゴシック"/>
              </w:rPr>
            </w:pPr>
            <w:r>
              <w:rPr>
                <w:rFonts w:hint="eastAsia" w:ascii="ＭＳ ゴシック" w:hAnsi="ＭＳ ゴシック" w:eastAsia="ＭＳ ゴシック"/>
              </w:rPr>
              <w:t>地域課題発見機能、ネットワーク構築機能、地域づくり・資源開発機能</w:t>
            </w:r>
          </w:p>
        </w:tc>
      </w:tr>
      <w:tr>
        <w:trPr>
          <w:trHeight w:val="216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default"/>
              </w:rPr>
            </w:pPr>
            <w:r>
              <w:rPr>
                <w:rFonts w:hint="eastAsia"/>
              </w:rPr>
              <w:t>□</w:t>
            </w:r>
            <w:r>
              <w:rPr>
                <w:rFonts w:hint="eastAsia" w:ascii="ＭＳ ゴシック" w:hAnsi="ＭＳ ゴシック" w:eastAsia="ＭＳ ゴシック"/>
              </w:rPr>
              <w:t>取組会議（随時協議体）</w:t>
            </w:r>
            <w:r>
              <w:rPr>
                <w:rFonts w:hint="eastAsia"/>
              </w:rPr>
              <w:t>：随時開催</w:t>
            </w:r>
          </w:p>
          <w:p>
            <w:pPr>
              <w:pStyle w:val="0"/>
              <w:ind w:left="475" w:hanging="475" w:hangingChars="198"/>
              <w:jc w:val="both"/>
              <w:rPr>
                <w:rFonts w:hint="default"/>
              </w:rPr>
            </w:pPr>
            <w:r>
              <w:rPr>
                <w:rFonts w:hint="eastAsia"/>
              </w:rPr>
              <w:t>　（参加者）活動主体者（地域住民等）、近隣住民、民生委員・児童委員、地区福祉会、社会福祉協議会、生活支援コーディネーター、サービス事業者等</w:t>
            </w:r>
          </w:p>
          <w:p>
            <w:pPr>
              <w:pStyle w:val="0"/>
              <w:jc w:val="both"/>
              <w:rPr>
                <w:rFonts w:hint="default"/>
              </w:rPr>
            </w:pPr>
            <w:r>
              <w:rPr>
                <w:rFonts w:hint="eastAsia"/>
              </w:rPr>
              <w:t>□</w:t>
            </w:r>
            <w:r>
              <w:rPr>
                <w:rFonts w:hint="eastAsia" w:ascii="ＭＳ ゴシック" w:hAnsi="ＭＳ ゴシック" w:eastAsia="ＭＳ ゴシック"/>
              </w:rPr>
              <w:t>ささえあい推進会議（第２層協議体）：</w:t>
            </w:r>
            <w:r>
              <w:rPr>
                <w:rFonts w:hint="eastAsia"/>
              </w:rPr>
              <w:t>年２回開催</w:t>
            </w:r>
          </w:p>
          <w:p>
            <w:pPr>
              <w:pStyle w:val="0"/>
              <w:ind w:left="480" w:hanging="480" w:hangingChars="200"/>
              <w:jc w:val="both"/>
              <w:rPr>
                <w:rFonts w:hint="default"/>
              </w:rPr>
            </w:pPr>
            <w:r>
              <w:rPr>
                <w:rFonts w:hint="eastAsia"/>
              </w:rPr>
              <w:t>　（参加者）近隣住民、民生委員・児童委員、地区福祉会、社会福祉協議会、生活支援コーディネーター、サービス事業者等</w:t>
            </w:r>
          </w:p>
        </w:tc>
      </w:tr>
      <w:tr>
        <w:trPr>
          <w:trHeight w:val="33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top"/>
          </w:tcPr>
          <w:p>
            <w:pPr>
              <w:pStyle w:val="0"/>
              <w:jc w:val="both"/>
              <w:rPr>
                <w:rFonts w:hint="default" w:ascii="ＭＳ ゴシック" w:hAnsi="ＭＳ ゴシック" w:eastAsia="ＭＳ ゴシック"/>
              </w:rPr>
            </w:pPr>
            <w:r>
              <w:rPr>
                <w:rFonts w:hint="eastAsia" w:ascii="ＭＳ ゴシック" w:hAnsi="ＭＳ ゴシック" w:eastAsia="ＭＳ ゴシック"/>
              </w:rPr>
              <w:t>ネットワーク構築機能、地域づくり・資源開発機能</w:t>
            </w:r>
          </w:p>
        </w:tc>
      </w:tr>
      <w:tr>
        <w:trPr>
          <w:trHeight w:val="1050" w:hRule="atLeast"/>
        </w:trPr>
        <w:tc>
          <w:tcPr>
            <w:tcW w:w="93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default"/>
              </w:rPr>
            </w:pPr>
            <w:r>
              <w:rPr>
                <w:rFonts w:hint="eastAsia"/>
              </w:rPr>
              <w:t>□</w:t>
            </w:r>
            <w:r>
              <w:rPr>
                <w:rFonts w:hint="eastAsia" w:ascii="ＭＳ ゴシック" w:hAnsi="ＭＳ ゴシック" w:eastAsia="ＭＳ ゴシック"/>
              </w:rPr>
              <w:t>協議体会議（第１層協議体）</w:t>
            </w:r>
            <w:r>
              <w:rPr>
                <w:rFonts w:hint="eastAsia"/>
              </w:rPr>
              <w:t>：年１回開催</w:t>
            </w:r>
          </w:p>
          <w:p>
            <w:pPr>
              <w:pStyle w:val="0"/>
              <w:ind w:left="475" w:leftChars="100" w:hanging="235" w:hangingChars="98"/>
              <w:jc w:val="both"/>
              <w:rPr>
                <w:rFonts w:hint="default"/>
              </w:rPr>
            </w:pPr>
            <w:r>
              <w:rPr>
                <w:rFonts w:hint="eastAsia"/>
              </w:rPr>
              <w:t>（参加者）地域包括支援センター、生活支援コーディネーター、社会福祉協議会、社会福祉法人、地域の関係者、サービス事業者等</w:t>
            </w:r>
          </w:p>
        </w:tc>
      </w:tr>
    </w:tbl>
    <w:p>
      <w:pPr>
        <w:pStyle w:val="0"/>
        <w:rPr>
          <w:rFonts w:hint="default" w:ascii="ＭＳ ゴシック" w:hAnsi="ＭＳ ゴシック" w:eastAsia="ＭＳ ゴシック"/>
          <w:sz w:val="21"/>
        </w:rPr>
      </w:pPr>
    </w:p>
    <w:p>
      <w:pPr>
        <w:pStyle w:val="0"/>
        <w:rPr>
          <w:rFonts w:hint="default" w:ascii="ＭＳ ゴシック" w:hAnsi="ＭＳ ゴシック" w:eastAsia="ＭＳ ゴシック"/>
          <w:sz w:val="21"/>
        </w:rPr>
      </w:pPr>
    </w:p>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86</w:t>
      </w:r>
      <w:r>
        <w:rPr>
          <w:rFonts w:hint="eastAsia" w:ascii="ＭＳ ゴシック" w:hAnsi="ＭＳ ゴシック" w:eastAsia="ＭＳ ゴシック"/>
          <w:sz w:val="21"/>
        </w:rPr>
        <w:t>：箕面市における地域ケア会議の全体像</w:t>
      </w:r>
    </w:p>
    <w:tbl>
      <w:tblPr>
        <w:tblStyle w:val="59"/>
        <w:tblW w:w="9776" w:type="dxa"/>
        <w:tblInd w:w="0" w:type="dxa"/>
        <w:tblLayout w:type="fixed"/>
        <w:tblLook w:firstRow="1" w:lastRow="0" w:firstColumn="1" w:lastColumn="0" w:noHBand="0" w:noVBand="1" w:val="04A0"/>
      </w:tblPr>
      <w:tblGrid>
        <w:gridCol w:w="595"/>
        <w:gridCol w:w="2094"/>
        <w:gridCol w:w="4110"/>
        <w:gridCol w:w="2977"/>
      </w:tblGrid>
      <w:tr>
        <w:trPr/>
        <w:tc>
          <w:tcPr>
            <w:tcW w:w="595" w:type="dxa"/>
            <w:shd w:val="clear" w:color="auto" w:themeFill="accent5" w:themeFillTint="66" w:themeFillShade="FF"/>
            <w:vAlign w:val="top"/>
          </w:tcPr>
          <w:p>
            <w:pPr>
              <w:pStyle w:val="0"/>
              <w:ind w:left="-110" w:leftChars="-46" w:right="-106" w:rightChars="-44"/>
              <w:jc w:val="center"/>
              <w:rPr>
                <w:rFonts w:hint="default" w:ascii="ＭＳ ゴシック" w:hAnsi="ＭＳ ゴシック" w:eastAsia="ＭＳ ゴシック"/>
              </w:rPr>
            </w:pPr>
            <w:r>
              <w:rPr>
                <w:rFonts w:hint="eastAsia" w:ascii="ＭＳ ゴシック" w:hAnsi="ＭＳ ゴシック" w:eastAsia="ＭＳ ゴシック"/>
              </w:rPr>
              <w:t>対象</w:t>
            </w:r>
          </w:p>
        </w:tc>
        <w:tc>
          <w:tcPr>
            <w:tcW w:w="2094" w:type="dxa"/>
            <w:shd w:val="clear" w:color="auto" w:themeFill="accent5" w:themeFillTint="66" w:themeFillShade="FF"/>
            <w:vAlign w:val="center"/>
          </w:tcPr>
          <w:p>
            <w:pPr>
              <w:pStyle w:val="0"/>
              <w:jc w:val="center"/>
              <w:rPr>
                <w:rFonts w:hint="default" w:ascii="ＭＳ ゴシック" w:hAnsi="ＭＳ ゴシック" w:eastAsia="ＭＳ ゴシック"/>
              </w:rPr>
            </w:pPr>
            <w:r>
              <w:rPr>
                <w:rFonts w:hint="eastAsia"/>
              </w:rPr>
              <mc:AlternateContent>
                <mc:Choice Requires="wps">
                  <w:drawing>
                    <wp:anchor distT="0" distB="0" distL="114300" distR="114300" simplePos="0" relativeHeight="214" behindDoc="0" locked="0" layoutInCell="1" hidden="0" allowOverlap="1">
                      <wp:simplePos x="0" y="0"/>
                      <wp:positionH relativeFrom="column">
                        <wp:posOffset>541020</wp:posOffset>
                      </wp:positionH>
                      <wp:positionV relativeFrom="paragraph">
                        <wp:posOffset>118110</wp:posOffset>
                      </wp:positionV>
                      <wp:extent cx="373380" cy="2165985"/>
                      <wp:effectExtent l="635" t="635" r="635" b="635"/>
                      <wp:wrapNone/>
                      <wp:docPr id="1245" name="角丸四角形 3"/>
                      <a:graphic xmlns:a="http://schemas.openxmlformats.org/drawingml/2006/main">
                        <a:graphicData uri="http://schemas.microsoft.com/office/word/2010/wordprocessingShape">
                          <wps:wsp>
                            <wps:cNvPr id="1245" name="角丸四角形 3"/>
                            <wps:cNvSpPr/>
                            <wps:spPr>
                              <a:xfrm>
                                <a:off x="0" y="0"/>
                                <a:ext cx="373380" cy="216598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地域づくり・資源開発</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9.3000000000000007pt;mso-position-vertical-relative:text;mso-position-horizontal-relative:text;v-text-anchor:top;position:absolute;height:170.55pt;mso-wrap-distance-top:0pt;width:29.4pt;mso-wrap-distance-left:9pt;margin-left:42.6pt;z-index:214;" o:spid="_x0000_s1245" o:allowincell="t" o:allowoverlap="t" filled="f" stroked="f" strokecolor="#70ad47 [3209]" strokeweight="0.5pt" o:spt="2" arcsize="10923f">
                      <v:fill/>
                      <v:stroke linestyle="single" miterlimit="8" endcap="flat" dashstyle="solid"/>
                      <v:textbox style="layout-flow:vertical-ideographic;">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地域づくり・資源開発</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10" behindDoc="0" locked="0" layoutInCell="1" hidden="0" allowOverlap="1">
                      <wp:simplePos x="0" y="0"/>
                      <wp:positionH relativeFrom="column">
                        <wp:posOffset>612775</wp:posOffset>
                      </wp:positionH>
                      <wp:positionV relativeFrom="paragraph">
                        <wp:posOffset>412750</wp:posOffset>
                      </wp:positionV>
                      <wp:extent cx="238125" cy="2272665"/>
                      <wp:effectExtent l="635" t="635" r="29845" b="10795"/>
                      <wp:wrapNone/>
                      <wp:docPr id="1246" name="角丸四角形 3"/>
                      <a:graphic xmlns:a="http://schemas.openxmlformats.org/drawingml/2006/main">
                        <a:graphicData uri="http://schemas.microsoft.com/office/word/2010/wordprocessingShape">
                          <wps:wsp>
                            <wps:cNvPr id="1246" name="角丸四角形 3"/>
                            <wps:cNvSpPr/>
                            <wps:spPr>
                              <a:xfrm>
                                <a:off x="0" y="0"/>
                                <a:ext cx="238125" cy="2272665"/>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32.5pt;mso-position-vertical-relative:text;mso-position-horizontal-relative:text;v-text-anchor:top;position:absolute;height:178.95pt;mso-wrap-distance-top:0pt;width:18.75pt;mso-wrap-distance-left:9pt;margin-left:48.25pt;z-index:210;" o:spid="_x0000_s1246"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eastAsia" w:ascii="ＭＳ ゴシック" w:hAnsi="ＭＳ ゴシック" w:eastAsia="ＭＳ ゴシック"/>
              </w:rPr>
              <w:t>機能</w:t>
            </w:r>
          </w:p>
        </w:tc>
        <w:tc>
          <w:tcPr>
            <w:tcW w:w="4110" w:type="dxa"/>
            <w:shd w:val="clear" w:color="auto" w:themeFill="accent5" w:themeFillTint="66" w:themeFillShade="FF"/>
            <w:vAlign w:val="top"/>
          </w:tcPr>
          <w:p>
            <w:pPr>
              <w:pStyle w:val="0"/>
              <w:jc w:val="center"/>
              <w:rPr>
                <w:rFonts w:hint="default" w:ascii="ＭＳ ゴシック" w:hAnsi="ＭＳ ゴシック" w:eastAsia="ＭＳ ゴシック"/>
              </w:rPr>
            </w:pPr>
            <w:r>
              <w:rPr>
                <w:rFonts w:hint="eastAsia" w:ascii="ＭＳ ゴシック" w:hAnsi="ＭＳ ゴシック" w:eastAsia="ＭＳ ゴシック"/>
              </w:rPr>
              <w:t>「個別事案検討」のステージ</w:t>
            </w:r>
          </w:p>
        </w:tc>
        <w:tc>
          <w:tcPr>
            <w:tcW w:w="2977" w:type="dxa"/>
            <w:shd w:val="clear" w:color="auto" w:themeFill="accent5" w:themeFillTint="66" w:themeFillShade="FF"/>
            <w:vAlign w:val="top"/>
          </w:tcPr>
          <w:p>
            <w:pPr>
              <w:pStyle w:val="0"/>
              <w:ind w:left="-120" w:leftChars="-50"/>
              <w:jc w:val="center"/>
              <w:rPr>
                <w:rFonts w:hint="default" w:ascii="ＭＳ ゴシック" w:hAnsi="ＭＳ ゴシック" w:eastAsia="ＭＳ ゴシック"/>
              </w:rPr>
            </w:pPr>
            <w:r>
              <w:rPr>
                <w:rFonts w:hint="eastAsia" w:ascii="ＭＳ ゴシック" w:hAnsi="ＭＳ ゴシック" w:eastAsia="ＭＳ ゴシック"/>
              </w:rPr>
              <w:t>「地域課題検討」のステージ</w:t>
            </w:r>
          </w:p>
        </w:tc>
      </w:tr>
      <w:tr>
        <w:trPr>
          <w:cantSplit/>
          <w:trHeight w:val="2524" w:hRule="atLeast"/>
        </w:trPr>
        <w:tc>
          <w:tcPr>
            <w:tcW w:w="595" w:type="dxa"/>
            <w:tcBorders>
              <w:top w:val="none" w:color="auto" w:sz="0" w:space="0"/>
              <w:left w:val="none" w:color="auto" w:sz="0" w:space="0"/>
              <w:bottom w:val="dashSmallGap" w:color="auto" w:sz="4" w:space="0"/>
              <w:right w:val="none" w:color="auto" w:sz="0" w:space="0"/>
              <w:tl2br w:val="none" w:color="auto" w:sz="0" w:space="0"/>
              <w:tr2bl w:val="none" w:color="auto" w:sz="0" w:space="0"/>
            </w:tcBorders>
            <w:shd w:val="clear" w:color="auto" w:themeFill="accent5" w:themeFillTint="66" w:themeFillShade="FF"/>
            <w:textDirection w:val="tbRlV"/>
            <w:vAlign w:val="center"/>
          </w:tcPr>
          <w:p>
            <w:pPr>
              <w:pStyle w:val="0"/>
              <w:ind w:left="113" w:right="113"/>
              <w:jc w:val="center"/>
              <w:rPr>
                <w:rFonts w:hint="default" w:ascii="ＭＳ ゴシック" w:hAnsi="ＭＳ ゴシック" w:eastAsia="ＭＳ ゴシック"/>
              </w:rPr>
            </w:pPr>
            <w:r>
              <w:rPr>
                <w:rFonts w:hint="eastAsia" w:ascii="ＭＳ ゴシック" w:hAnsi="ＭＳ ゴシック" w:eastAsia="ＭＳ ゴシック"/>
              </w:rPr>
              <w:t>市全体レベル</w:t>
            </w:r>
          </w:p>
        </w:tc>
        <w:tc>
          <w:tcPr>
            <w:tcW w:w="2094"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rPr>
              <mc:AlternateContent>
                <mc:Choice Requires="wps">
                  <w:drawing>
                    <wp:anchor distT="0" distB="0" distL="114300" distR="114300" simplePos="0" relativeHeight="248" behindDoc="0" locked="0" layoutInCell="1" hidden="0" allowOverlap="1">
                      <wp:simplePos x="0" y="0"/>
                      <wp:positionH relativeFrom="column">
                        <wp:posOffset>868680</wp:posOffset>
                      </wp:positionH>
                      <wp:positionV relativeFrom="paragraph">
                        <wp:posOffset>250190</wp:posOffset>
                      </wp:positionV>
                      <wp:extent cx="404495" cy="692150"/>
                      <wp:effectExtent l="635" t="635" r="635" b="635"/>
                      <wp:wrapNone/>
                      <wp:docPr id="1247" name="角丸四角形 3"/>
                      <a:graphic xmlns:a="http://schemas.openxmlformats.org/drawingml/2006/main">
                        <a:graphicData uri="http://schemas.microsoft.com/office/word/2010/wordprocessingShape">
                          <wps:wsp>
                            <wps:cNvPr id="1247" name="角丸四角形 3"/>
                            <wps:cNvSpPr/>
                            <wps:spPr>
                              <a:xfrm>
                                <a:off x="0" y="0"/>
                                <a:ext cx="404495" cy="69215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政策形成</w:t>
                                  </w:r>
                                </w:p>
                              </w:txbxContent>
                            </wps:txbx>
                            <wps:bodyPr vertOverflow="clip" horzOverflow="clip" vert="eaVert" wrap="square" rtlCol="0" anchor="t"/>
                          </wps:wsp>
                        </a:graphicData>
                      </a:graphic>
                    </wp:anchor>
                  </w:drawing>
                </mc:Choice>
                <mc:Fallback>
                  <w:pict>
                    <v:roundrect id="角丸四角形 3" style="mso-wrap-distance-right:9pt;mso-wrap-distance-bottom:0pt;margin-top:19.7pt;mso-position-vertical-relative:text;mso-position-horizontal-relative:text;v-text-anchor:top;position:absolute;height:54.5pt;mso-wrap-distance-top:0pt;width:31.85pt;mso-wrap-distance-left:9pt;margin-left:68.400000000000006pt;z-index:248;" o:spid="_x0000_s1247" o:allowincell="t" o:allowoverlap="t" filled="f" stroked="f" strokecolor="#70ad47 [3209]" strokeweight="0.5pt" o:spt="2" arcsize="10923f">
                      <v:fill/>
                      <v:stroke linestyle="single" miterlimit="8" endcap="flat" dashstyle="solid"/>
                      <v:textbox style="layout-flow:vertical-ideographic;">
                        <w:txbxContent>
                          <w:p>
                            <w:pPr>
                              <w:pStyle w:val="0"/>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政策形成</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08" behindDoc="0" locked="0" layoutInCell="1" hidden="0" allowOverlap="1">
                      <wp:simplePos x="0" y="0"/>
                      <wp:positionH relativeFrom="column">
                        <wp:posOffset>-60325</wp:posOffset>
                      </wp:positionH>
                      <wp:positionV relativeFrom="paragraph">
                        <wp:posOffset>1473200</wp:posOffset>
                      </wp:positionV>
                      <wp:extent cx="356235" cy="1838325"/>
                      <wp:effectExtent l="635" t="635" r="635" b="635"/>
                      <wp:wrapNone/>
                      <wp:docPr id="1248" name="角丸四角形 3"/>
                      <a:graphic xmlns:a="http://schemas.openxmlformats.org/drawingml/2006/main">
                        <a:graphicData uri="http://schemas.microsoft.com/office/word/2010/wordprocessingShape">
                          <wps:wsp>
                            <wps:cNvPr id="1248" name="角丸四角形 3"/>
                            <wps:cNvSpPr/>
                            <wps:spPr>
                              <a:xfrm>
                                <a:off x="0" y="0"/>
                                <a:ext cx="356235" cy="183832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地域課題の発見</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16pt;mso-position-vertical-relative:text;mso-position-horizontal-relative:text;v-text-anchor:top;position:absolute;height:144.75pt;mso-wrap-distance-top:0pt;width:28.05pt;mso-wrap-distance-left:9pt;margin-left:-4.75pt;z-index:208;" o:spid="_x0000_s1248" o:allowincell="t" o:allowoverlap="t" filled="f" stroked="f" strokecolor="#70ad47 [3209]" strokeweight="0.5pt" o:spt="2" arcsize="10923f">
                      <v:fill/>
                      <v:stroke linestyle="single" miterlimit="8" endcap="flat" dashstyle="solid"/>
                      <v:textbox style="layout-flow:vertical-ideographic;">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地域課題の発見</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09" behindDoc="0" locked="0" layoutInCell="1" hidden="0" allowOverlap="1">
                      <wp:simplePos x="0" y="0"/>
                      <wp:positionH relativeFrom="column">
                        <wp:posOffset>300990</wp:posOffset>
                      </wp:positionH>
                      <wp:positionV relativeFrom="paragraph">
                        <wp:posOffset>177800</wp:posOffset>
                      </wp:positionV>
                      <wp:extent cx="238125" cy="2931160"/>
                      <wp:effectExtent l="635" t="635" r="29845" b="10795"/>
                      <wp:wrapNone/>
                      <wp:docPr id="1249" name="角丸四角形 3"/>
                      <a:graphic xmlns:a="http://schemas.openxmlformats.org/drawingml/2006/main">
                        <a:graphicData uri="http://schemas.microsoft.com/office/word/2010/wordprocessingShape">
                          <wps:wsp>
                            <wps:cNvPr id="1249" name="角丸四角形 3"/>
                            <wps:cNvSpPr/>
                            <wps:spPr>
                              <a:xfrm>
                                <a:off x="0" y="0"/>
                                <a:ext cx="238125" cy="293116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4pt;mso-position-vertical-relative:text;mso-position-horizontal-relative:text;v-text-anchor:top;position:absolute;height:230.8pt;mso-wrap-distance-top:0pt;width:18.75pt;mso-wrap-distance-left:9pt;margin-left:23.7pt;z-index:209;" o:spid="_x0000_s1249"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13" behindDoc="0" locked="0" layoutInCell="1" hidden="0" allowOverlap="1">
                      <wp:simplePos x="0" y="0"/>
                      <wp:positionH relativeFrom="column">
                        <wp:posOffset>241935</wp:posOffset>
                      </wp:positionH>
                      <wp:positionV relativeFrom="paragraph">
                        <wp:posOffset>387985</wp:posOffset>
                      </wp:positionV>
                      <wp:extent cx="356235" cy="2309495"/>
                      <wp:effectExtent l="635" t="635" r="635" b="635"/>
                      <wp:wrapNone/>
                      <wp:docPr id="1250" name="角丸四角形 3"/>
                      <a:graphic xmlns:a="http://schemas.openxmlformats.org/drawingml/2006/main">
                        <a:graphicData uri="http://schemas.microsoft.com/office/word/2010/wordprocessingShape">
                          <wps:wsp>
                            <wps:cNvPr id="1250" name="角丸四角形 3"/>
                            <wps:cNvSpPr/>
                            <wps:spPr>
                              <a:xfrm>
                                <a:off x="0" y="0"/>
                                <a:ext cx="356235" cy="230949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ネットワークの構築</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30.55pt;mso-position-vertical-relative:text;mso-position-horizontal-relative:text;v-text-anchor:top;position:absolute;height:181.85pt;mso-wrap-distance-top:0pt;width:28.05pt;mso-wrap-distance-left:9pt;margin-left:19.05pt;z-index:213;" o:spid="_x0000_s1250" o:allowincell="t" o:allowoverlap="t" filled="f" stroked="f" strokecolor="#70ad47 [3209]" strokeweight="0.5pt" o:spt="2" arcsize="10923f">
                      <v:fill/>
                      <v:stroke linestyle="single" miterlimit="8" endcap="flat" dashstyle="solid"/>
                      <v:textbox style="layout-flow:vertical-ideographic;">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ネットワークの構築</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47" behindDoc="0" locked="0" layoutInCell="1" hidden="0" allowOverlap="1">
                      <wp:simplePos x="0" y="0"/>
                      <wp:positionH relativeFrom="column">
                        <wp:posOffset>925195</wp:posOffset>
                      </wp:positionH>
                      <wp:positionV relativeFrom="paragraph">
                        <wp:posOffset>169545</wp:posOffset>
                      </wp:positionV>
                      <wp:extent cx="219075" cy="726440"/>
                      <wp:effectExtent l="635" t="635" r="29845" b="10795"/>
                      <wp:wrapNone/>
                      <wp:docPr id="1251" name="角丸四角形 3"/>
                      <a:graphic xmlns:a="http://schemas.openxmlformats.org/drawingml/2006/main">
                        <a:graphicData uri="http://schemas.microsoft.com/office/word/2010/wordprocessingShape">
                          <wps:wsp>
                            <wps:cNvPr id="1251" name="角丸四角形 3"/>
                            <wps:cNvSpPr/>
                            <wps:spPr>
                              <a:xfrm>
                                <a:off x="0" y="0"/>
                                <a:ext cx="219075" cy="72644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000000" w:themeColor="text1"/>
                                      <w:kern w:val="0"/>
                                      <w:sz w:val="10"/>
                                      <w:highlight w:val="yellow"/>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3.35pt;mso-position-vertical-relative:text;mso-position-horizontal-relative:text;v-text-anchor:top;position:absolute;height:57.2pt;mso-wrap-distance-top:0pt;width:17.25pt;mso-wrap-distance-left:9pt;margin-left:72.84pt;z-index:247;" o:spid="_x0000_s1251"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000000" w:themeColor="text1"/>
                                <w:kern w:val="0"/>
                                <w:sz w:val="10"/>
                                <w:highlight w:val="yellow"/>
                                <w:shd w:val="clear" w:color="auto" w:themeFill="background1" w:themeFillTint="FF" w:themeFillShade="FF"/>
                              </w:rPr>
                            </w:pPr>
                          </w:p>
                        </w:txbxContent>
                      </v:textbox>
                      <v:imagedata o:title=""/>
                      <w10:wrap type="none" anchorx="text" anchory="text"/>
                    </v:roundrect>
                  </w:pict>
                </mc:Fallback>
              </mc:AlternateContent>
            </w:r>
          </w:p>
        </w:tc>
        <w:tc>
          <w:tcPr>
            <w:tcW w:w="4110"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44" behindDoc="0" locked="0" layoutInCell="1" hidden="0" allowOverlap="1">
                      <wp:simplePos x="0" y="0"/>
                      <wp:positionH relativeFrom="column">
                        <wp:posOffset>320675</wp:posOffset>
                      </wp:positionH>
                      <wp:positionV relativeFrom="paragraph">
                        <wp:posOffset>1169670</wp:posOffset>
                      </wp:positionV>
                      <wp:extent cx="3117215" cy="1359535"/>
                      <wp:effectExtent l="0" t="0" r="1270" b="1270"/>
                      <wp:wrapNone/>
                      <wp:docPr id="1252" name="図形 265"/>
                      <a:graphic xmlns:a="http://schemas.openxmlformats.org/drawingml/2006/main">
                        <a:graphicData uri="http://schemas.microsoft.com/office/word/2010/wordprocessingShape">
                          <wps:wsp>
                            <wps:cNvPr id="1252" name="図形 265"/>
                            <wps:cNvSpPr/>
                            <wps:spPr>
                              <a:xfrm rot="10800000" flipH="1" flipV="1">
                                <a:off x="0" y="0"/>
                                <a:ext cx="3117215" cy="1359535"/>
                              </a:xfrm>
                              <a:prstGeom prst="bentArrow">
                                <a:avLst>
                                  <a:gd name="adj1" fmla="val 11555"/>
                                  <a:gd name="adj2" fmla="val 34463"/>
                                  <a:gd name="adj3" fmla="val 0"/>
                                  <a:gd name="adj4" fmla="val 18129"/>
                                </a:avLst>
                              </a:prstGeom>
                              <a:solidFill>
                                <a:schemeClr val="accent5"/>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図形 265" style="flip:x y;mso-wrap-distance-right:9pt;mso-wrap-distance-bottom:0pt;margin-top:92.1pt;mso-position-vertical-relative:text;mso-position-horizontal-relative:text;position:absolute;height:107.05pt;mso-wrap-distance-top:0pt;width:245.45pt;mso-wrap-distance-left:9pt;margin-left:25.25pt;z-index:244;rotation:180;" o:spid="_x0000_s1252" o:allowincell="t" o:allowoverlap="t" filled="t" fillcolor="#5b9bd5 [3208]" stroked="f" strokecolor="#32528f" strokeweight="1pt" o:spt="0" path="m0,21600l0,21600l0,10112c0,7949,1753,6196,3916,6196l21600,6196l21600,0l21600,7444l21600,14888l21600,8692l3916,8692l3916,8692c3132,8692,2496,9328,2496,10112l2496,21600xe">
                      <v:path textboxrect="0,0,21600,21600" o:connecttype="custom" o:connectlocs="21600,0;21600,14888;1248,21600;21600,7444" o:connectangles="270,90,90,0"/>
                      <v:fill/>
                      <v:stroke linestyle="single" miterlimit="8" joinstyle="miter" dashstyle="solid"/>
                      <v:textbox style="layout-flow:horizontal;"/>
                      <v:imagedata o:title=""/>
                      <w10:wrap type="none" anchorx="text" anchory="text"/>
                    </v:shape>
                  </w:pict>
                </mc:Fallback>
              </mc:AlternateContent>
            </w:r>
          </w:p>
        </w:tc>
        <w:tc>
          <w:tcPr>
            <w:tcW w:w="2977"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40" behindDoc="0" locked="0" layoutInCell="1" hidden="0" allowOverlap="1">
                      <wp:simplePos x="0" y="0"/>
                      <wp:positionH relativeFrom="column">
                        <wp:posOffset>744220</wp:posOffset>
                      </wp:positionH>
                      <wp:positionV relativeFrom="paragraph">
                        <wp:posOffset>1363980</wp:posOffset>
                      </wp:positionV>
                      <wp:extent cx="290830" cy="468630"/>
                      <wp:effectExtent l="0" t="0" r="635" b="635"/>
                      <wp:wrapNone/>
                      <wp:docPr id="1253" name="矢印: 上 2066"/>
                      <a:graphic xmlns:a="http://schemas.openxmlformats.org/drawingml/2006/main">
                        <a:graphicData uri="http://schemas.microsoft.com/office/word/2010/wordprocessingShape">
                          <wps:wsp>
                            <wps:cNvPr id="1253" name="矢印: 上 2066"/>
                            <wps:cNvSpPr/>
                            <wps:spPr>
                              <a:xfrm>
                                <a:off x="0" y="0"/>
                                <a:ext cx="290830" cy="468630"/>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6" style="mso-wrap-distance-right:9pt;mso-wrap-distance-bottom:0pt;margin-top:107.4pt;mso-position-vertical-relative:text;mso-position-horizontal-relative:text;position:absolute;height:36.9pt;mso-wrap-distance-top:0pt;width:22.9pt;mso-wrap-distance-left:9pt;margin-left:58.6pt;z-index:240;" o:spid="_x0000_s1253"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42" behindDoc="0" locked="0" layoutInCell="1" hidden="0" allowOverlap="1">
                      <wp:simplePos x="0" y="0"/>
                      <wp:positionH relativeFrom="column">
                        <wp:posOffset>758825</wp:posOffset>
                      </wp:positionH>
                      <wp:positionV relativeFrom="paragraph">
                        <wp:posOffset>412115</wp:posOffset>
                      </wp:positionV>
                      <wp:extent cx="290830" cy="201295"/>
                      <wp:effectExtent l="0" t="0" r="635" b="635"/>
                      <wp:wrapNone/>
                      <wp:docPr id="1254" name="矢印: 上 2068"/>
                      <a:graphic xmlns:a="http://schemas.openxmlformats.org/drawingml/2006/main">
                        <a:graphicData uri="http://schemas.microsoft.com/office/word/2010/wordprocessingShape">
                          <wps:wsp>
                            <wps:cNvPr id="1254" name="矢印: 上 2068"/>
                            <wps:cNvSpPr/>
                            <wps:spPr>
                              <a:xfrm>
                                <a:off x="0" y="0"/>
                                <a:ext cx="290830" cy="201295"/>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8" style="mso-wrap-distance-right:9pt;mso-wrap-distance-bottom:0pt;margin-top:32.450000000000003pt;mso-position-vertical-relative:text;mso-position-horizontal-relative:text;position:absolute;height:15.85pt;mso-wrap-distance-top:0pt;width:22.9pt;mso-wrap-distance-left:9pt;margin-left:59.75pt;z-index:242;" o:spid="_x0000_s1254"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41" behindDoc="0" locked="0" layoutInCell="1" hidden="0" allowOverlap="1">
                      <wp:simplePos x="0" y="0"/>
                      <wp:positionH relativeFrom="column">
                        <wp:posOffset>744220</wp:posOffset>
                      </wp:positionH>
                      <wp:positionV relativeFrom="paragraph">
                        <wp:posOffset>881380</wp:posOffset>
                      </wp:positionV>
                      <wp:extent cx="290830" cy="201295"/>
                      <wp:effectExtent l="0" t="0" r="635" b="635"/>
                      <wp:wrapNone/>
                      <wp:docPr id="1255" name="矢印: 上 2067"/>
                      <a:graphic xmlns:a="http://schemas.openxmlformats.org/drawingml/2006/main">
                        <a:graphicData uri="http://schemas.microsoft.com/office/word/2010/wordprocessingShape">
                          <wps:wsp>
                            <wps:cNvPr id="1255" name="矢印: 上 2067"/>
                            <wps:cNvSpPr/>
                            <wps:spPr>
                              <a:xfrm>
                                <a:off x="0" y="0"/>
                                <a:ext cx="290830" cy="201295"/>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7" style="mso-wrap-distance-right:9pt;mso-wrap-distance-bottom:0pt;margin-top:69.400000000000006pt;mso-position-vertical-relative:text;mso-position-horizontal-relative:text;position:absolute;height:15.85pt;mso-wrap-distance-top:0pt;width:22.9pt;mso-wrap-distance-left:9pt;margin-left:58.6pt;z-index:241;" o:spid="_x0000_s1255"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20" behindDoc="0" locked="0" layoutInCell="1" hidden="0" allowOverlap="1">
                      <wp:simplePos x="0" y="0"/>
                      <wp:positionH relativeFrom="column">
                        <wp:posOffset>-7620</wp:posOffset>
                      </wp:positionH>
                      <wp:positionV relativeFrom="paragraph">
                        <wp:posOffset>1142365</wp:posOffset>
                      </wp:positionV>
                      <wp:extent cx="1851025" cy="291465"/>
                      <wp:effectExtent l="635" t="635" r="635" b="635"/>
                      <wp:wrapNone/>
                      <wp:docPr id="1256" name="角丸四角形 3"/>
                      <a:graphic xmlns:a="http://schemas.openxmlformats.org/drawingml/2006/main">
                        <a:graphicData uri="http://schemas.microsoft.com/office/word/2010/wordprocessingShape">
                          <wps:wsp>
                            <wps:cNvPr id="1256" name="角丸四角形 3"/>
                            <wps:cNvSpPr/>
                            <wps:spPr>
                              <a:xfrm>
                                <a:off x="0" y="0"/>
                                <a:ext cx="1851025" cy="29146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協議体会議（第１層協議体）</w:t>
                                  </w:r>
                                </w:p>
                              </w:txbxContent>
                            </wps:txbx>
                            <wps:bodyPr vertOverflow="clip" horzOverflow="clip" wrap="square" rtlCol="0" anchor="t"/>
                          </wps:wsp>
                        </a:graphicData>
                      </a:graphic>
                    </wp:anchor>
                  </w:drawing>
                </mc:Choice>
                <mc:Fallback>
                  <w:pict>
                    <v:roundrect id="角丸四角形 3" style="mso-wrap-distance-right:9pt;mso-wrap-distance-bottom:0pt;margin-top:89.95pt;mso-position-vertical-relative:text;mso-position-horizontal-relative:text;v-text-anchor:top;position:absolute;height:22.95pt;mso-wrap-distance-top:0pt;width:145.75pt;mso-wrap-distance-left:9pt;margin-left:-0.6pt;z-index:220;" o:spid="_x0000_s1256"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協議体会議（第１層協議体）</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8" behindDoc="0" locked="0" layoutInCell="1" hidden="0" allowOverlap="1">
                      <wp:simplePos x="0" y="0"/>
                      <wp:positionH relativeFrom="column">
                        <wp:posOffset>-34925</wp:posOffset>
                      </wp:positionH>
                      <wp:positionV relativeFrom="paragraph">
                        <wp:posOffset>650875</wp:posOffset>
                      </wp:positionV>
                      <wp:extent cx="1851025" cy="291465"/>
                      <wp:effectExtent l="635" t="635" r="635" b="635"/>
                      <wp:wrapNone/>
                      <wp:docPr id="1257" name="角丸四角形 3"/>
                      <a:graphic xmlns:a="http://schemas.openxmlformats.org/drawingml/2006/main">
                        <a:graphicData uri="http://schemas.microsoft.com/office/word/2010/wordprocessingShape">
                          <wps:wsp>
                            <wps:cNvPr id="1257" name="角丸四角形 3"/>
                            <wps:cNvSpPr/>
                            <wps:spPr>
                              <a:xfrm>
                                <a:off x="0" y="0"/>
                                <a:ext cx="1851025" cy="29146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介護サービス評価専門員会議</w:t>
                                  </w:r>
                                </w:p>
                              </w:txbxContent>
                            </wps:txbx>
                            <wps:bodyPr vertOverflow="clip" horzOverflow="clip" wrap="square" rtlCol="0" anchor="t"/>
                          </wps:wsp>
                        </a:graphicData>
                      </a:graphic>
                    </wp:anchor>
                  </w:drawing>
                </mc:Choice>
                <mc:Fallback>
                  <w:pict>
                    <v:roundrect id="角丸四角形 3" style="mso-wrap-distance-right:9pt;mso-wrap-distance-bottom:0pt;margin-top:51.25pt;mso-position-vertical-relative:text;mso-position-horizontal-relative:text;v-text-anchor:top;position:absolute;height:22.95pt;mso-wrap-distance-top:0pt;width:145.75pt;mso-wrap-distance-left:9pt;margin-left:-2.75pt;z-index:218;" o:spid="_x0000_s1257"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介護サービス評価専門員会議</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9" behindDoc="0" locked="0" layoutInCell="1" hidden="0" allowOverlap="1">
                      <wp:simplePos x="0" y="0"/>
                      <wp:positionH relativeFrom="column">
                        <wp:posOffset>73660</wp:posOffset>
                      </wp:positionH>
                      <wp:positionV relativeFrom="paragraph">
                        <wp:posOffset>1122045</wp:posOffset>
                      </wp:positionV>
                      <wp:extent cx="1637030" cy="218440"/>
                      <wp:effectExtent l="635" t="635" r="29845" b="10795"/>
                      <wp:wrapNone/>
                      <wp:docPr id="1258" name="角丸四角形 3"/>
                      <a:graphic xmlns:a="http://schemas.openxmlformats.org/drawingml/2006/main">
                        <a:graphicData uri="http://schemas.microsoft.com/office/word/2010/wordprocessingShape">
                          <wps:wsp>
                            <wps:cNvPr id="1258" name="角丸四角形 3"/>
                            <wps:cNvSpPr/>
                            <wps:spPr>
                              <a:xfrm>
                                <a:off x="0" y="0"/>
                                <a:ext cx="1637030" cy="21844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88.35pt;mso-position-vertical-relative:text;mso-position-horizontal-relative:text;v-text-anchor:top;position:absolute;height:17.2pt;mso-wrap-distance-top:0pt;width:128.9pt;mso-wrap-distance-left:9pt;margin-left:5.8pt;z-index:219;" o:spid="_x0000_s1258"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7" behindDoc="0" locked="0" layoutInCell="1" hidden="0" allowOverlap="1">
                      <wp:simplePos x="0" y="0"/>
                      <wp:positionH relativeFrom="column">
                        <wp:posOffset>73660</wp:posOffset>
                      </wp:positionH>
                      <wp:positionV relativeFrom="paragraph">
                        <wp:posOffset>647700</wp:posOffset>
                      </wp:positionV>
                      <wp:extent cx="1637030" cy="218440"/>
                      <wp:effectExtent l="635" t="635" r="29845" b="10795"/>
                      <wp:wrapNone/>
                      <wp:docPr id="1259" name="角丸四角形 3"/>
                      <a:graphic xmlns:a="http://schemas.openxmlformats.org/drawingml/2006/main">
                        <a:graphicData uri="http://schemas.microsoft.com/office/word/2010/wordprocessingShape">
                          <wps:wsp>
                            <wps:cNvPr id="1259" name="角丸四角形 3"/>
                            <wps:cNvSpPr/>
                            <wps:spPr>
                              <a:xfrm>
                                <a:off x="0" y="0"/>
                                <a:ext cx="1637030" cy="21844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51pt;mso-position-vertical-relative:text;mso-position-horizontal-relative:text;v-text-anchor:top;position:absolute;height:17.2pt;mso-wrap-distance-top:0pt;width:128.9pt;mso-wrap-distance-left:9pt;margin-left:5.8pt;z-index:217;" o:spid="_x0000_s1259"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6" behindDoc="0" locked="0" layoutInCell="1" hidden="0" allowOverlap="1">
                      <wp:simplePos x="0" y="0"/>
                      <wp:positionH relativeFrom="column">
                        <wp:posOffset>35560</wp:posOffset>
                      </wp:positionH>
                      <wp:positionV relativeFrom="paragraph">
                        <wp:posOffset>178435</wp:posOffset>
                      </wp:positionV>
                      <wp:extent cx="1851025" cy="291465"/>
                      <wp:effectExtent l="635" t="635" r="635" b="635"/>
                      <wp:wrapNone/>
                      <wp:docPr id="1260" name="角丸四角形 3"/>
                      <a:graphic xmlns:a="http://schemas.openxmlformats.org/drawingml/2006/main">
                        <a:graphicData uri="http://schemas.microsoft.com/office/word/2010/wordprocessingShape">
                          <wps:wsp>
                            <wps:cNvPr id="1260" name="角丸四角形 3"/>
                            <wps:cNvSpPr/>
                            <wps:spPr>
                              <a:xfrm>
                                <a:off x="0" y="0"/>
                                <a:ext cx="1851025" cy="29146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保健医療福祉総合審議会</w:t>
                                  </w:r>
                                </w:p>
                              </w:txbxContent>
                            </wps:txbx>
                            <wps:bodyPr vertOverflow="clip" horzOverflow="clip" wrap="square" rtlCol="0" anchor="t"/>
                          </wps:wsp>
                        </a:graphicData>
                      </a:graphic>
                    </wp:anchor>
                  </w:drawing>
                </mc:Choice>
                <mc:Fallback>
                  <w:pict>
                    <v:roundrect id="角丸四角形 3" style="mso-wrap-distance-right:9pt;mso-wrap-distance-bottom:0pt;margin-top:14.05pt;mso-position-vertical-relative:text;mso-position-horizontal-relative:text;v-text-anchor:top;position:absolute;height:22.95pt;mso-wrap-distance-top:0pt;width:145.75pt;mso-wrap-distance-left:9pt;margin-left:2.8pt;z-index:216;" o:spid="_x0000_s1260"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保健医療福祉総合審議会</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5" behindDoc="0" locked="0" layoutInCell="1" hidden="0" allowOverlap="1">
                      <wp:simplePos x="0" y="0"/>
                      <wp:positionH relativeFrom="column">
                        <wp:posOffset>113665</wp:posOffset>
                      </wp:positionH>
                      <wp:positionV relativeFrom="paragraph">
                        <wp:posOffset>169545</wp:posOffset>
                      </wp:positionV>
                      <wp:extent cx="1637030" cy="218440"/>
                      <wp:effectExtent l="635" t="635" r="29845" b="10795"/>
                      <wp:wrapNone/>
                      <wp:docPr id="1261" name="角丸四角形 3"/>
                      <a:graphic xmlns:a="http://schemas.openxmlformats.org/drawingml/2006/main">
                        <a:graphicData uri="http://schemas.microsoft.com/office/word/2010/wordprocessingShape">
                          <wps:wsp>
                            <wps:cNvPr id="1261" name="角丸四角形 3"/>
                            <wps:cNvSpPr/>
                            <wps:spPr>
                              <a:xfrm>
                                <a:off x="0" y="0"/>
                                <a:ext cx="1637030" cy="218440"/>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3.35pt;mso-position-vertical-relative:text;mso-position-horizontal-relative:text;v-text-anchor:top;position:absolute;height:17.2pt;mso-wrap-distance-top:0pt;width:128.9pt;mso-wrap-distance-left:9pt;margin-left:8.94pt;z-index:215;" o:spid="_x0000_s1261"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r>
      <w:tr>
        <w:trPr>
          <w:cantSplit/>
          <w:trHeight w:val="2531" w:hRule="atLeast"/>
        </w:trPr>
        <w:tc>
          <w:tcPr>
            <w:tcW w:w="595"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shd w:val="clear" w:color="auto" w:themeFill="accent5" w:themeFillTint="66" w:themeFillShade="FF"/>
            <w:textDirection w:val="tbRlV"/>
            <w:vAlign w:val="center"/>
          </w:tcPr>
          <w:p>
            <w:pPr>
              <w:pStyle w:val="0"/>
              <w:ind w:left="113" w:right="113"/>
              <w:jc w:val="center"/>
              <w:rPr>
                <w:rFonts w:hint="default" w:ascii="ＭＳ ゴシック" w:hAnsi="ＭＳ ゴシック" w:eastAsia="ＭＳ ゴシック"/>
              </w:rPr>
            </w:pPr>
            <w:r>
              <w:rPr>
                <w:rFonts w:hint="eastAsia" w:ascii="ＭＳ ゴシック" w:hAnsi="ＭＳ ゴシック" w:eastAsia="ＭＳ ゴシック"/>
              </w:rPr>
              <w:t>日常生活圏域レベル</w:t>
            </w:r>
          </w:p>
        </w:tc>
        <w:tc>
          <w:tcPr>
            <w:tcW w:w="2094"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eastAsia"/>
              </w:rPr>
              <mc:AlternateContent>
                <mc:Choice Requires="wps">
                  <w:drawing>
                    <wp:anchor distT="0" distB="0" distL="114300" distR="114300" simplePos="0" relativeHeight="207" behindDoc="0" locked="0" layoutInCell="1" hidden="0" allowOverlap="1">
                      <wp:simplePos x="0" y="0"/>
                      <wp:positionH relativeFrom="column">
                        <wp:posOffset>6350</wp:posOffset>
                      </wp:positionH>
                      <wp:positionV relativeFrom="paragraph">
                        <wp:posOffset>135255</wp:posOffset>
                      </wp:positionV>
                      <wp:extent cx="228600" cy="1364615"/>
                      <wp:effectExtent l="635" t="635" r="29845" b="10795"/>
                      <wp:wrapNone/>
                      <wp:docPr id="1262" name="角丸四角形 3"/>
                      <a:graphic xmlns:a="http://schemas.openxmlformats.org/drawingml/2006/main">
                        <a:graphicData uri="http://schemas.microsoft.com/office/word/2010/wordprocessingShape">
                          <wps:wsp>
                            <wps:cNvPr id="1262" name="角丸四角形 3"/>
                            <wps:cNvSpPr/>
                            <wps:spPr>
                              <a:xfrm>
                                <a:off x="0" y="0"/>
                                <a:ext cx="228600" cy="1364615"/>
                              </a:xfrm>
                              <a:prstGeom prst="round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10.65pt;mso-position-vertical-relative:text;mso-position-horizontal-relative:text;v-text-anchor:top;position:absolute;height:107.45pt;mso-wrap-distance-top:0pt;width:18pt;mso-wrap-distance-left:9pt;margin-left:0.5pt;z-index:207;" o:spid="_x0000_s1262" o:allowincell="t" o:allowoverlap="t" filled="t" fillcolor="#ffffff [3212]"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c>
          <w:tcPr>
            <w:tcW w:w="4110"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46" behindDoc="0" locked="0" layoutInCell="1" hidden="0" allowOverlap="1">
                      <wp:simplePos x="0" y="0"/>
                      <wp:positionH relativeFrom="column">
                        <wp:posOffset>1943100</wp:posOffset>
                      </wp:positionH>
                      <wp:positionV relativeFrom="paragraph">
                        <wp:posOffset>11430</wp:posOffset>
                      </wp:positionV>
                      <wp:extent cx="290830" cy="906145"/>
                      <wp:effectExtent l="0" t="0" r="635" b="635"/>
                      <wp:wrapNone/>
                      <wp:docPr id="1263" name="矢印: 上 2074"/>
                      <a:graphic xmlns:a="http://schemas.openxmlformats.org/drawingml/2006/main">
                        <a:graphicData uri="http://schemas.microsoft.com/office/word/2010/wordprocessingShape">
                          <wps:wsp>
                            <wps:cNvPr id="1263" name="矢印: 上 2074"/>
                            <wps:cNvSpPr/>
                            <wps:spPr>
                              <a:xfrm>
                                <a:off x="0" y="0"/>
                                <a:ext cx="290830" cy="906145"/>
                              </a:xfrm>
                              <a:prstGeom prst="upArrow">
                                <a:avLst>
                                  <a:gd name="adj1" fmla="val 50000"/>
                                  <a:gd name="adj2"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74" style="mso-wrap-distance-right:9pt;mso-wrap-distance-bottom:0pt;margin-top:0.9pt;mso-position-vertical-relative:text;mso-position-horizontal-relative:text;position:absolute;height:71.34pt;mso-wrap-distance-top:0pt;width:22.9pt;mso-wrap-distance-left:9pt;margin-left:153pt;z-index:246;" o:spid="_x0000_s1263" o:allowincell="t" o:allowoverlap="t" filled="t" fillcolor="#5b9bd5 [3208]" stroked="f" strokecolor="#32528f" strokeweight="1pt" o:spt="68" type="#_x0000_t68" adj="0,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45" behindDoc="0" locked="0" layoutInCell="1" hidden="0" allowOverlap="1">
                      <wp:simplePos x="0" y="0"/>
                      <wp:positionH relativeFrom="column">
                        <wp:posOffset>1126490</wp:posOffset>
                      </wp:positionH>
                      <wp:positionV relativeFrom="paragraph">
                        <wp:posOffset>635</wp:posOffset>
                      </wp:positionV>
                      <wp:extent cx="290830" cy="906145"/>
                      <wp:effectExtent l="0" t="0" r="635" b="635"/>
                      <wp:wrapNone/>
                      <wp:docPr id="1264" name="矢印: 上 2073"/>
                      <a:graphic xmlns:a="http://schemas.openxmlformats.org/drawingml/2006/main">
                        <a:graphicData uri="http://schemas.microsoft.com/office/word/2010/wordprocessingShape">
                          <wps:wsp>
                            <wps:cNvPr id="1264" name="矢印: 上 2073"/>
                            <wps:cNvSpPr/>
                            <wps:spPr>
                              <a:xfrm>
                                <a:off x="0" y="0"/>
                                <a:ext cx="290830" cy="906145"/>
                              </a:xfrm>
                              <a:prstGeom prst="upArrow">
                                <a:avLst>
                                  <a:gd name="adj1" fmla="val 50000"/>
                                  <a:gd name="adj2"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73" style="mso-wrap-distance-right:9pt;mso-wrap-distance-bottom:0pt;margin-top:5.e-002pt;mso-position-vertical-relative:text;mso-position-horizontal-relative:text;position:absolute;height:71.34pt;mso-wrap-distance-top:0pt;width:22.9pt;mso-wrap-distance-left:9pt;margin-left:88.7pt;z-index:245;" o:spid="_x0000_s1264" o:allowincell="t" o:allowoverlap="t" filled="t" fillcolor="#5b9bd5 [3208]" stroked="f" strokecolor="#32528f" strokeweight="1pt" o:spt="68" type="#_x0000_t68" adj="0,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43" behindDoc="0" locked="0" layoutInCell="1" hidden="0" allowOverlap="1">
                      <wp:simplePos x="0" y="0"/>
                      <wp:positionH relativeFrom="column">
                        <wp:posOffset>667385</wp:posOffset>
                      </wp:positionH>
                      <wp:positionV relativeFrom="paragraph">
                        <wp:posOffset>1526540</wp:posOffset>
                      </wp:positionV>
                      <wp:extent cx="290830" cy="398145"/>
                      <wp:effectExtent l="5715" t="0" r="30480" b="5715"/>
                      <wp:wrapNone/>
                      <wp:docPr id="1265" name="矢印: 上 2069"/>
                      <a:graphic xmlns:a="http://schemas.openxmlformats.org/drawingml/2006/main">
                        <a:graphicData uri="http://schemas.microsoft.com/office/word/2010/wordprocessingShape">
                          <wps:wsp>
                            <wps:cNvPr id="1265" name="矢印: 上 2069"/>
                            <wps:cNvSpPr/>
                            <wps:spPr>
                              <a:xfrm rot="19460880">
                                <a:off x="0" y="0"/>
                                <a:ext cx="290830" cy="398145"/>
                              </a:xfrm>
                              <a:prstGeom prst="upArrow">
                                <a:avLst>
                                  <a:gd name="adj1" fmla="val 50000"/>
                                  <a:gd name="adj2" fmla="val 49202"/>
                                </a:avLst>
                              </a:prstGeom>
                              <a:pattFill prst="dkHorz">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9" style="mso-wrap-distance-right:9pt;mso-wrap-distance-bottom:0pt;margin-top:120.2pt;mso-position-vertical-relative:text;mso-position-horizontal-relative:text;position:absolute;height:31.35pt;mso-wrap-distance-top:0pt;width:22.9pt;mso-wrap-distance-left:9pt;margin-left:52.55pt;z-index:243;rotation:324;" o:spid="_x0000_s1265" o:allowincell="t" o:allowoverlap="t" filled="t" fillcolor="#5b9bd5 [3208]" stroked="f" strokecolor="#32528f" strokeweight="1pt" o:spt="68" type="#_x0000_t68" adj="10628,5400">
                      <v:fill type="pattern" color2="#ffffff [3212]" r:id="rId98"/>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30" behindDoc="0" locked="0" layoutInCell="1" hidden="0" allowOverlap="1">
                      <wp:simplePos x="0" y="0"/>
                      <wp:positionH relativeFrom="column">
                        <wp:posOffset>1663700</wp:posOffset>
                      </wp:positionH>
                      <wp:positionV relativeFrom="paragraph">
                        <wp:posOffset>1019810</wp:posOffset>
                      </wp:positionV>
                      <wp:extent cx="884555" cy="457200"/>
                      <wp:effectExtent l="635" t="635" r="635" b="635"/>
                      <wp:wrapNone/>
                      <wp:docPr id="1266" name="角丸四角形 3"/>
                      <a:graphic xmlns:a="http://schemas.openxmlformats.org/drawingml/2006/main">
                        <a:graphicData uri="http://schemas.microsoft.com/office/word/2010/wordprocessingShape">
                          <wps:wsp>
                            <wps:cNvPr id="1266" name="角丸四角形 3"/>
                            <wps:cNvSpPr/>
                            <wps:spPr>
                              <a:xfrm>
                                <a:off x="0" y="0"/>
                                <a:ext cx="884555" cy="4572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虐待事案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レビュー</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wps:txbx>
                            <wps:bodyPr vertOverflow="clip" horzOverflow="clip" wrap="square" rtlCol="0" anchor="t"/>
                          </wps:wsp>
                        </a:graphicData>
                      </a:graphic>
                    </wp:anchor>
                  </w:drawing>
                </mc:Choice>
                <mc:Fallback>
                  <w:pict>
                    <v:roundrect id="角丸四角形 3" style="mso-wrap-distance-right:9pt;mso-wrap-distance-bottom:0pt;margin-top:80.3pt;mso-position-vertical-relative:text;mso-position-horizontal-relative:text;v-text-anchor:top;position:absolute;height:36pt;mso-wrap-distance-top:0pt;width:69.650000000000006pt;mso-wrap-distance-left:9pt;margin-left:131pt;z-index:230;" o:spid="_x0000_s1266"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虐待事案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レビュー</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9" behindDoc="0" locked="0" layoutInCell="1" hidden="0" allowOverlap="1">
                      <wp:simplePos x="0" y="0"/>
                      <wp:positionH relativeFrom="column">
                        <wp:posOffset>803910</wp:posOffset>
                      </wp:positionH>
                      <wp:positionV relativeFrom="paragraph">
                        <wp:posOffset>1012190</wp:posOffset>
                      </wp:positionV>
                      <wp:extent cx="884555" cy="457200"/>
                      <wp:effectExtent l="635" t="635" r="635" b="635"/>
                      <wp:wrapNone/>
                      <wp:docPr id="1267" name="角丸四角形 3"/>
                      <a:graphic xmlns:a="http://schemas.openxmlformats.org/drawingml/2006/main">
                        <a:graphicData uri="http://schemas.microsoft.com/office/word/2010/wordprocessingShape">
                          <wps:wsp>
                            <wps:cNvPr id="1267" name="角丸四角形 3"/>
                            <wps:cNvSpPr/>
                            <wps:spPr>
                              <a:xfrm>
                                <a:off x="0" y="0"/>
                                <a:ext cx="884555" cy="4572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地域ケア</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レビュー</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wps:txbx>
                            <wps:bodyPr vertOverflow="clip" horzOverflow="clip" wrap="square" rtlCol="0" anchor="t"/>
                          </wps:wsp>
                        </a:graphicData>
                      </a:graphic>
                    </wp:anchor>
                  </w:drawing>
                </mc:Choice>
                <mc:Fallback>
                  <w:pict>
                    <v:roundrect id="角丸四角形 3" style="mso-wrap-distance-right:9pt;mso-wrap-distance-bottom:0pt;margin-top:79.7pt;mso-position-vertical-relative:text;mso-position-horizontal-relative:text;v-text-anchor:top;position:absolute;height:36pt;mso-wrap-distance-top:0pt;width:69.650000000000006pt;mso-wrap-distance-left:9pt;margin-left:63.3pt;z-index:229;" o:spid="_x0000_s1267"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地域ケア</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レビュー</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6" behindDoc="0" locked="0" layoutInCell="1" hidden="0" allowOverlap="1">
                      <wp:simplePos x="0" y="0"/>
                      <wp:positionH relativeFrom="column">
                        <wp:posOffset>-54610</wp:posOffset>
                      </wp:positionH>
                      <wp:positionV relativeFrom="paragraph">
                        <wp:posOffset>1022350</wp:posOffset>
                      </wp:positionV>
                      <wp:extent cx="884555" cy="457200"/>
                      <wp:effectExtent l="635" t="635" r="635" b="635"/>
                      <wp:wrapNone/>
                      <wp:docPr id="1268" name="角丸四角形 3"/>
                      <a:graphic xmlns:a="http://schemas.openxmlformats.org/drawingml/2006/main">
                        <a:graphicData uri="http://schemas.microsoft.com/office/word/2010/wordprocessingShape">
                          <wps:wsp>
                            <wps:cNvPr id="1268" name="角丸四角形 3"/>
                            <wps:cNvSpPr/>
                            <wps:spPr>
                              <a:xfrm>
                                <a:off x="0" y="0"/>
                                <a:ext cx="884555" cy="45720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多職種連携</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元気サポート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wps:txbx>
                            <wps:bodyPr vertOverflow="clip" horzOverflow="clip" wrap="square" rtlCol="0" anchor="t"/>
                          </wps:wsp>
                        </a:graphicData>
                      </a:graphic>
                    </wp:anchor>
                  </w:drawing>
                </mc:Choice>
                <mc:Fallback>
                  <w:pict>
                    <v:roundrect id="角丸四角形 3" style="mso-wrap-distance-right:9pt;mso-wrap-distance-bottom:0pt;margin-top:80.5pt;mso-position-vertical-relative:text;mso-position-horizontal-relative:text;v-text-anchor:top;position:absolute;height:36pt;mso-wrap-distance-top:0pt;width:69.650000000000006pt;mso-wrap-distance-left:9pt;margin-left:-4.3pt;z-index:226;" o:spid="_x0000_s1268"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多職種連携</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元気サポート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会議</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7" behindDoc="0" locked="0" layoutInCell="1" hidden="0" allowOverlap="1">
                      <wp:simplePos x="0" y="0"/>
                      <wp:positionH relativeFrom="column">
                        <wp:posOffset>845820</wp:posOffset>
                      </wp:positionH>
                      <wp:positionV relativeFrom="paragraph">
                        <wp:posOffset>972820</wp:posOffset>
                      </wp:positionV>
                      <wp:extent cx="795020" cy="528320"/>
                      <wp:effectExtent l="635" t="635" r="29845" b="10795"/>
                      <wp:wrapNone/>
                      <wp:docPr id="1269" name="角丸四角形 3"/>
                      <a:graphic xmlns:a="http://schemas.openxmlformats.org/drawingml/2006/main">
                        <a:graphicData uri="http://schemas.microsoft.com/office/word/2010/wordprocessingShape">
                          <wps:wsp>
                            <wps:cNvPr id="1269" name="角丸四角形 3"/>
                            <wps:cNvSpPr/>
                            <wps:spPr>
                              <a:xfrm>
                                <a:off x="0" y="0"/>
                                <a:ext cx="795020" cy="52832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76.59pt;mso-position-vertical-relative:text;mso-position-horizontal-relative:text;v-text-anchor:top;position:absolute;height:41.6pt;mso-wrap-distance-top:0pt;width:62.6pt;mso-wrap-distance-left:9pt;margin-left:66.59pt;z-index:227;" o:spid="_x0000_s1269"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8" behindDoc="0" locked="0" layoutInCell="1" hidden="0" allowOverlap="1">
                      <wp:simplePos x="0" y="0"/>
                      <wp:positionH relativeFrom="column">
                        <wp:posOffset>1695450</wp:posOffset>
                      </wp:positionH>
                      <wp:positionV relativeFrom="paragraph">
                        <wp:posOffset>972820</wp:posOffset>
                      </wp:positionV>
                      <wp:extent cx="795020" cy="528320"/>
                      <wp:effectExtent l="635" t="635" r="29845" b="10795"/>
                      <wp:wrapNone/>
                      <wp:docPr id="1270" name="角丸四角形 3"/>
                      <a:graphic xmlns:a="http://schemas.openxmlformats.org/drawingml/2006/main">
                        <a:graphicData uri="http://schemas.microsoft.com/office/word/2010/wordprocessingShape">
                          <wps:wsp>
                            <wps:cNvPr id="1270" name="角丸四角形 3"/>
                            <wps:cNvSpPr/>
                            <wps:spPr>
                              <a:xfrm>
                                <a:off x="0" y="0"/>
                                <a:ext cx="795020" cy="52832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76.59pt;mso-position-vertical-relative:text;mso-position-horizontal-relative:text;v-text-anchor:top;position:absolute;height:41.6pt;mso-wrap-distance-top:0pt;width:62.6pt;mso-wrap-distance-left:9pt;margin-left:133.5pt;z-index:228;" o:spid="_x0000_s1270"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5" behindDoc="0" locked="0" layoutInCell="1" hidden="0" allowOverlap="1">
                      <wp:simplePos x="0" y="0"/>
                      <wp:positionH relativeFrom="column">
                        <wp:posOffset>0</wp:posOffset>
                      </wp:positionH>
                      <wp:positionV relativeFrom="paragraph">
                        <wp:posOffset>972820</wp:posOffset>
                      </wp:positionV>
                      <wp:extent cx="795020" cy="528320"/>
                      <wp:effectExtent l="635" t="635" r="29845" b="10795"/>
                      <wp:wrapNone/>
                      <wp:docPr id="1271" name="角丸四角形 3"/>
                      <a:graphic xmlns:a="http://schemas.openxmlformats.org/drawingml/2006/main">
                        <a:graphicData uri="http://schemas.microsoft.com/office/word/2010/wordprocessingShape">
                          <wps:wsp>
                            <wps:cNvPr id="1271" name="角丸四角形 3"/>
                            <wps:cNvSpPr/>
                            <wps:spPr>
                              <a:xfrm>
                                <a:off x="0" y="0"/>
                                <a:ext cx="795020" cy="52832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76.59pt;mso-position-vertical-relative:text;mso-position-horizontal-relative:text;v-text-anchor:top;position:absolute;height:41.6pt;mso-wrap-distance-top:0pt;width:62.6pt;mso-wrap-distance-left:9pt;margin-left:0pt;z-index:225;" o:spid="_x0000_s1271"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c>
          <w:tcPr>
            <w:tcW w:w="2977" w:type="dxa"/>
            <w:tcBorders>
              <w:top w:val="dashSmallGap" w:color="auto" w:sz="4" w:space="0"/>
              <w:left w:val="none" w:color="auto" w:sz="0"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22" behindDoc="0" locked="0" layoutInCell="1" hidden="0" allowOverlap="1">
                      <wp:simplePos x="0" y="0"/>
                      <wp:positionH relativeFrom="column">
                        <wp:posOffset>-3810</wp:posOffset>
                      </wp:positionH>
                      <wp:positionV relativeFrom="paragraph">
                        <wp:posOffset>596265</wp:posOffset>
                      </wp:positionV>
                      <wp:extent cx="1851025" cy="319405"/>
                      <wp:effectExtent l="635" t="635" r="635" b="635"/>
                      <wp:wrapNone/>
                      <wp:docPr id="1272" name="角丸四角形 3"/>
                      <a:graphic xmlns:a="http://schemas.openxmlformats.org/drawingml/2006/main">
                        <a:graphicData uri="http://schemas.microsoft.com/office/word/2010/wordprocessingShape">
                          <wps:wsp>
                            <wps:cNvPr id="1272" name="角丸四角形 3"/>
                            <wps:cNvSpPr/>
                            <wps:spPr>
                              <a:xfrm>
                                <a:off x="0" y="0"/>
                                <a:ext cx="1851025" cy="31940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取組会議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（随時協議体）</w:t>
                                  </w:r>
                                </w:p>
                              </w:txbxContent>
                            </wps:txbx>
                            <wps:bodyPr vertOverflow="clip" horzOverflow="clip" wrap="square" rtlCol="0" anchor="t"/>
                          </wps:wsp>
                        </a:graphicData>
                      </a:graphic>
                    </wp:anchor>
                  </w:drawing>
                </mc:Choice>
                <mc:Fallback>
                  <w:pict>
                    <v:roundrect id="角丸四角形 3" style="mso-wrap-distance-right:9pt;mso-wrap-distance-bottom:0pt;margin-top:46.95pt;mso-position-vertical-relative:text;mso-position-horizontal-relative:text;v-text-anchor:top;position:absolute;height:25.15pt;mso-wrap-distance-top:0pt;width:145.75pt;mso-wrap-distance-left:9pt;margin-left:-0.3pt;z-index:222;" o:spid="_x0000_s1272"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取組会議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（随時協議体）</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4" behindDoc="0" locked="0" layoutInCell="1" hidden="0" allowOverlap="1">
                      <wp:simplePos x="0" y="0"/>
                      <wp:positionH relativeFrom="column">
                        <wp:posOffset>3810</wp:posOffset>
                      </wp:positionH>
                      <wp:positionV relativeFrom="paragraph">
                        <wp:posOffset>277495</wp:posOffset>
                      </wp:positionV>
                      <wp:extent cx="1851025" cy="336550"/>
                      <wp:effectExtent l="635" t="635" r="635" b="635"/>
                      <wp:wrapNone/>
                      <wp:docPr id="1273" name="角丸四角形 3"/>
                      <a:graphic xmlns:a="http://schemas.openxmlformats.org/drawingml/2006/main">
                        <a:graphicData uri="http://schemas.microsoft.com/office/word/2010/wordprocessingShape">
                          <wps:wsp>
                            <wps:cNvPr id="1273" name="角丸四角形 3"/>
                            <wps:cNvSpPr/>
                            <wps:spPr>
                              <a:xfrm>
                                <a:off x="0" y="0"/>
                                <a:ext cx="1851025" cy="33655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ささえあい推進会議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（第２層協議体）</w:t>
                                  </w:r>
                                </w:p>
                              </w:txbxContent>
                            </wps:txbx>
                            <wps:bodyPr vertOverflow="clip" horzOverflow="clip" wrap="square" rtlCol="0" anchor="t"/>
                          </wps:wsp>
                        </a:graphicData>
                      </a:graphic>
                    </wp:anchor>
                  </w:drawing>
                </mc:Choice>
                <mc:Fallback>
                  <w:pict>
                    <v:roundrect id="角丸四角形 3" style="mso-wrap-distance-right:9pt;mso-wrap-distance-bottom:0pt;margin-top:21.85pt;mso-position-vertical-relative:text;mso-position-horizontal-relative:text;v-text-anchor:top;position:absolute;height:26.5pt;mso-wrap-distance-top:0pt;width:145.75pt;mso-wrap-distance-left:9pt;margin-left:0.3pt;z-index:224;" o:spid="_x0000_s1273"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ささえあい推進会議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（第２層協議体）</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1" behindDoc="0" locked="0" layoutInCell="1" hidden="0" allowOverlap="1">
                      <wp:simplePos x="0" y="0"/>
                      <wp:positionH relativeFrom="column">
                        <wp:posOffset>74295</wp:posOffset>
                      </wp:positionH>
                      <wp:positionV relativeFrom="paragraph">
                        <wp:posOffset>593090</wp:posOffset>
                      </wp:positionV>
                      <wp:extent cx="1637030" cy="313690"/>
                      <wp:effectExtent l="635" t="635" r="29845" b="10795"/>
                      <wp:wrapNone/>
                      <wp:docPr id="1274" name="角丸四角形 3"/>
                      <a:graphic xmlns:a="http://schemas.openxmlformats.org/drawingml/2006/main">
                        <a:graphicData uri="http://schemas.microsoft.com/office/word/2010/wordprocessingShape">
                          <wps:wsp>
                            <wps:cNvPr id="1274" name="角丸四角形 3"/>
                            <wps:cNvSpPr/>
                            <wps:spPr>
                              <a:xfrm>
                                <a:off x="0" y="0"/>
                                <a:ext cx="1637030" cy="31369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46.7pt;mso-position-vertical-relative:text;mso-position-horizontal-relative:text;v-text-anchor:top;position:absolute;height:24.7pt;mso-wrap-distance-top:0pt;width:128.9pt;mso-wrap-distance-left:9pt;margin-left:5.85pt;z-index:221;" o:spid="_x0000_s1274"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23" behindDoc="0" locked="0" layoutInCell="1" hidden="0" allowOverlap="1">
                      <wp:simplePos x="0" y="0"/>
                      <wp:positionH relativeFrom="column">
                        <wp:posOffset>74295</wp:posOffset>
                      </wp:positionH>
                      <wp:positionV relativeFrom="paragraph">
                        <wp:posOffset>256540</wp:posOffset>
                      </wp:positionV>
                      <wp:extent cx="1637030" cy="330835"/>
                      <wp:effectExtent l="635" t="635" r="29845" b="10795"/>
                      <wp:wrapNone/>
                      <wp:docPr id="1275" name="角丸四角形 3"/>
                      <a:graphic xmlns:a="http://schemas.openxmlformats.org/drawingml/2006/main">
                        <a:graphicData uri="http://schemas.microsoft.com/office/word/2010/wordprocessingShape">
                          <wps:wsp>
                            <wps:cNvPr id="1275" name="角丸四角形 3"/>
                            <wps:cNvSpPr/>
                            <wps:spPr>
                              <a:xfrm>
                                <a:off x="0" y="0"/>
                                <a:ext cx="1637030" cy="330835"/>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20.2pt;mso-position-vertical-relative:text;mso-position-horizontal-relative:text;v-text-anchor:top;position:absolute;height:26.05pt;mso-wrap-distance-top:0pt;width:128.9pt;mso-wrap-distance-left:9pt;margin-left:5.85pt;z-index:223;" o:spid="_x0000_s1275"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r>
      <w:tr>
        <w:trPr>
          <w:cantSplit/>
          <w:trHeight w:val="1560" w:hRule="atLeast"/>
        </w:trPr>
        <w:tc>
          <w:tcPr>
            <w:tcW w:w="595" w:type="dxa"/>
            <w:tcBorders>
              <w:top w:val="dashSmallGap" w:color="auto" w:sz="4" w:space="0"/>
              <w:left w:val="none" w:color="auto" w:sz="0" w:space="0"/>
              <w:bottom w:val="none" w:color="auto" w:sz="0" w:space="0"/>
              <w:right w:val="none" w:color="auto" w:sz="0" w:space="0"/>
              <w:tl2br w:val="none" w:color="auto" w:sz="0" w:space="0"/>
              <w:tr2bl w:val="none" w:color="auto" w:sz="0" w:space="0"/>
            </w:tcBorders>
            <w:shd w:val="clear" w:color="auto" w:themeFill="accent5" w:themeFillTint="66" w:themeFillShade="FF"/>
            <w:textDirection w:val="tbRlV"/>
            <w:vAlign w:val="center"/>
          </w:tcPr>
          <w:p>
            <w:pPr>
              <w:pStyle w:val="0"/>
              <w:ind w:left="113" w:right="113"/>
              <w:jc w:val="center"/>
              <w:rPr>
                <w:rFonts w:hint="default" w:ascii="ＭＳ ゴシック" w:hAnsi="ＭＳ ゴシック" w:eastAsia="ＭＳ ゴシック"/>
              </w:rPr>
            </w:pPr>
            <w:r>
              <w:rPr>
                <w:rFonts w:hint="eastAsia" w:ascii="ＭＳ ゴシック" w:hAnsi="ＭＳ ゴシック" w:eastAsia="ＭＳ ゴシック"/>
              </w:rPr>
              <w:t>個別レベル</w:t>
            </w:r>
          </w:p>
        </w:tc>
        <w:tc>
          <w:tcPr>
            <w:tcW w:w="2094"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12" behindDoc="0" locked="0" layoutInCell="1" hidden="0" allowOverlap="1">
                      <wp:simplePos x="0" y="0"/>
                      <wp:positionH relativeFrom="column">
                        <wp:posOffset>112395</wp:posOffset>
                      </wp:positionH>
                      <wp:positionV relativeFrom="paragraph">
                        <wp:posOffset>427990</wp:posOffset>
                      </wp:positionV>
                      <wp:extent cx="996315" cy="375285"/>
                      <wp:effectExtent l="635" t="635" r="635" b="635"/>
                      <wp:wrapNone/>
                      <wp:docPr id="1276" name="角丸四角形 3"/>
                      <a:graphic xmlns:a="http://schemas.openxmlformats.org/drawingml/2006/main">
                        <a:graphicData uri="http://schemas.microsoft.com/office/word/2010/wordprocessingShape">
                          <wps:wsp>
                            <wps:cNvPr id="1276" name="角丸四角形 3"/>
                            <wps:cNvSpPr/>
                            <wps:spPr>
                              <a:xfrm>
                                <a:off x="0" y="0"/>
                                <a:ext cx="996315" cy="375285"/>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個別課題の解決</w:t>
                                  </w:r>
                                </w:p>
                              </w:txbxContent>
                            </wps:txbx>
                            <wps:bodyPr vertOverflow="clip" horzOverflow="clip" wrap="square" rtlCol="0" anchor="t"/>
                          </wps:wsp>
                        </a:graphicData>
                      </a:graphic>
                    </wp:anchor>
                  </w:drawing>
                </mc:Choice>
                <mc:Fallback>
                  <w:pict>
                    <v:roundrect id="角丸四角形 3" style="mso-wrap-distance-right:9pt;mso-wrap-distance-bottom:0pt;margin-top:33.700000000000003pt;mso-position-vertical-relative:text;mso-position-horizontal-relative:text;v-text-anchor:top;position:absolute;height:29.55pt;mso-wrap-distance-top:0pt;width:78.45pt;mso-wrap-distance-left:9pt;margin-left:8.85pt;z-index:212;" o:spid="_x0000_s1276"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kern w:val="0"/>
                                <w:sz w:val="16"/>
                              </w:rPr>
                              <w:t>個別課題の解決</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11" behindDoc="0" locked="0" layoutInCell="1" hidden="0" allowOverlap="1">
                      <wp:simplePos x="0" y="0"/>
                      <wp:positionH relativeFrom="column">
                        <wp:posOffset>45720</wp:posOffset>
                      </wp:positionH>
                      <wp:positionV relativeFrom="paragraph">
                        <wp:posOffset>88265</wp:posOffset>
                      </wp:positionV>
                      <wp:extent cx="1098550" cy="845820"/>
                      <wp:effectExtent l="635" t="635" r="29845" b="10795"/>
                      <wp:wrapNone/>
                      <wp:docPr id="1277" name="角丸四角形 3"/>
                      <a:graphic xmlns:a="http://schemas.openxmlformats.org/drawingml/2006/main">
                        <a:graphicData uri="http://schemas.microsoft.com/office/word/2010/wordprocessingShape">
                          <wps:wsp>
                            <wps:cNvPr id="1277" name="角丸四角形 3"/>
                            <wps:cNvSpPr/>
                            <wps:spPr>
                              <a:xfrm>
                                <a:off x="0" y="0"/>
                                <a:ext cx="1098550" cy="845820"/>
                              </a:xfrm>
                              <a:prstGeom prst="roundRect">
                                <a:avLst>
                                  <a:gd name="adj" fmla="val 10024"/>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6.95pt;mso-position-vertical-relative:text;mso-position-horizontal-relative:text;v-text-anchor:top;position:absolute;height:66.59pt;mso-wrap-distance-top:0pt;width:86.5pt;mso-wrap-distance-left:9pt;margin-left:3.6pt;z-index:211;" o:spid="_x0000_s1277" o:allowincell="t" o:allowoverlap="t" filled="t" fillcolor="#ffffff [3212]" stroked="t" strokecolor="#000000 [3213]" strokeweight="0.5pt" o:spt="2" arcsize="6569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c>
          <w:tcPr>
            <w:tcW w:w="4110"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239" behindDoc="0" locked="0" layoutInCell="1" hidden="0" allowOverlap="1">
                      <wp:simplePos x="0" y="0"/>
                      <wp:positionH relativeFrom="column">
                        <wp:posOffset>1945005</wp:posOffset>
                      </wp:positionH>
                      <wp:positionV relativeFrom="paragraph">
                        <wp:posOffset>-70485</wp:posOffset>
                      </wp:positionV>
                      <wp:extent cx="290830" cy="398145"/>
                      <wp:effectExtent l="0" t="0" r="635" b="635"/>
                      <wp:wrapNone/>
                      <wp:docPr id="1278" name="矢印: 上 2065"/>
                      <a:graphic xmlns:a="http://schemas.openxmlformats.org/drawingml/2006/main">
                        <a:graphicData uri="http://schemas.microsoft.com/office/word/2010/wordprocessingShape">
                          <wps:wsp>
                            <wps:cNvPr id="1278" name="矢印: 上 2065"/>
                            <wps:cNvSpPr/>
                            <wps:spPr>
                              <a:xfrm>
                                <a:off x="0" y="0"/>
                                <a:ext cx="290830" cy="398145"/>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5" style="mso-wrap-distance-right:9pt;mso-wrap-distance-bottom:0pt;margin-top:-5.55pt;mso-position-vertical-relative:text;mso-position-horizontal-relative:text;position:absolute;height:31.35pt;mso-wrap-distance-top:0pt;width:22.9pt;mso-wrap-distance-left:9pt;margin-left:153.15pt;z-index:239;" o:spid="_x0000_s1278"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38" behindDoc="0" locked="0" layoutInCell="1" hidden="0" allowOverlap="1">
                      <wp:simplePos x="0" y="0"/>
                      <wp:positionH relativeFrom="column">
                        <wp:posOffset>1095375</wp:posOffset>
                      </wp:positionH>
                      <wp:positionV relativeFrom="paragraph">
                        <wp:posOffset>-70485</wp:posOffset>
                      </wp:positionV>
                      <wp:extent cx="290830" cy="398145"/>
                      <wp:effectExtent l="0" t="0" r="635" b="635"/>
                      <wp:wrapNone/>
                      <wp:docPr id="1279" name="矢印: 上 2064"/>
                      <a:graphic xmlns:a="http://schemas.openxmlformats.org/drawingml/2006/main">
                        <a:graphicData uri="http://schemas.microsoft.com/office/word/2010/wordprocessingShape">
                          <wps:wsp>
                            <wps:cNvPr id="1279" name="矢印: 上 2064"/>
                            <wps:cNvSpPr/>
                            <wps:spPr>
                              <a:xfrm>
                                <a:off x="0" y="0"/>
                                <a:ext cx="290830" cy="398145"/>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4" style="mso-wrap-distance-right:9pt;mso-wrap-distance-bottom:0pt;margin-top:-5.55pt;mso-position-vertical-relative:text;mso-position-horizontal-relative:text;position:absolute;height:31.35pt;mso-wrap-distance-top:0pt;width:22.9pt;mso-wrap-distance-left:9pt;margin-left:86.25pt;z-index:238;" o:spid="_x0000_s1279"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37" behindDoc="0" locked="0" layoutInCell="1" hidden="0" allowOverlap="1">
                      <wp:simplePos x="0" y="0"/>
                      <wp:positionH relativeFrom="column">
                        <wp:posOffset>248920</wp:posOffset>
                      </wp:positionH>
                      <wp:positionV relativeFrom="paragraph">
                        <wp:posOffset>-71120</wp:posOffset>
                      </wp:positionV>
                      <wp:extent cx="290830" cy="398145"/>
                      <wp:effectExtent l="0" t="0" r="635" b="635"/>
                      <wp:wrapNone/>
                      <wp:docPr id="1280" name="矢印: 上 2061"/>
                      <a:graphic xmlns:a="http://schemas.openxmlformats.org/drawingml/2006/main">
                        <a:graphicData uri="http://schemas.microsoft.com/office/word/2010/wordprocessingShape">
                          <wps:wsp>
                            <wps:cNvPr id="1280" name="矢印: 上 2061"/>
                            <wps:cNvSpPr/>
                            <wps:spPr>
                              <a:xfrm>
                                <a:off x="0" y="0"/>
                                <a:ext cx="290830" cy="398145"/>
                              </a:xfrm>
                              <a:prstGeom prst="upArrow">
                                <a:avLst>
                                  <a:gd name="adj1" fmla="val 50000"/>
                                  <a:gd name="adj2" fmla="val 49202"/>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61" style="mso-wrap-distance-right:9pt;mso-wrap-distance-bottom:0pt;margin-top:-5.6pt;mso-position-vertical-relative:text;mso-position-horizontal-relative:text;position:absolute;height:31.35pt;mso-wrap-distance-top:0pt;width:22.9pt;mso-wrap-distance-left:9pt;margin-left:19.600000000000001pt;z-index:237;" o:spid="_x0000_s1280" o:allowincell="t" o:allowoverlap="t" filled="t" fillcolor="#5b9bd5 [3208]" stroked="f" strokecolor="#32528f" strokeweight="1pt" o:spt="68" type="#_x0000_t68" adj="10628,5400">
                      <v:fill/>
                      <v:stroke linestyle="single" miterlimit="8" endcap="flat" dashstyle="solid"/>
                      <v:textbox style="layout-flow:horizontal;"/>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236" behindDoc="0" locked="0" layoutInCell="1" hidden="0" allowOverlap="1">
                      <wp:simplePos x="0" y="0"/>
                      <wp:positionH relativeFrom="column">
                        <wp:posOffset>1639570</wp:posOffset>
                      </wp:positionH>
                      <wp:positionV relativeFrom="paragraph">
                        <wp:posOffset>418465</wp:posOffset>
                      </wp:positionV>
                      <wp:extent cx="884555" cy="320040"/>
                      <wp:effectExtent l="635" t="635" r="635" b="635"/>
                      <wp:wrapNone/>
                      <wp:docPr id="1281" name="角丸四角形 3"/>
                      <a:graphic xmlns:a="http://schemas.openxmlformats.org/drawingml/2006/main">
                        <a:graphicData uri="http://schemas.microsoft.com/office/word/2010/wordprocessingShape">
                          <wps:wsp>
                            <wps:cNvPr id="1281" name="角丸四角形 3"/>
                            <wps:cNvSpPr/>
                            <wps:spPr>
                              <a:xfrm>
                                <a:off x="0" y="0"/>
                                <a:ext cx="884555" cy="32004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虐待事案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wps:txbx>
                            <wps:bodyPr vertOverflow="clip" horzOverflow="clip" wrap="square" rtlCol="0" anchor="t"/>
                          </wps:wsp>
                        </a:graphicData>
                      </a:graphic>
                    </wp:anchor>
                  </w:drawing>
                </mc:Choice>
                <mc:Fallback>
                  <w:pict>
                    <v:roundrect id="角丸四角形 3" style="mso-wrap-distance-right:9pt;mso-wrap-distance-bottom:0pt;margin-top:32.950000000000003pt;mso-position-vertical-relative:text;mso-position-horizontal-relative:text;v-text-anchor:top;position:absolute;height:25.2pt;mso-wrap-distance-top:0pt;width:69.650000000000006pt;mso-wrap-distance-left:9pt;margin-left:129.1pt;z-index:236;" o:spid="_x0000_s1281"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虐待事案</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35" behindDoc="0" locked="0" layoutInCell="1" hidden="0" allowOverlap="1">
                      <wp:simplePos x="0" y="0"/>
                      <wp:positionH relativeFrom="column">
                        <wp:posOffset>802005</wp:posOffset>
                      </wp:positionH>
                      <wp:positionV relativeFrom="paragraph">
                        <wp:posOffset>411480</wp:posOffset>
                      </wp:positionV>
                      <wp:extent cx="884555" cy="320040"/>
                      <wp:effectExtent l="635" t="635" r="635" b="635"/>
                      <wp:wrapNone/>
                      <wp:docPr id="1282" name="角丸四角形 3"/>
                      <a:graphic xmlns:a="http://schemas.openxmlformats.org/drawingml/2006/main">
                        <a:graphicData uri="http://schemas.microsoft.com/office/word/2010/wordprocessingShape">
                          <wps:wsp>
                            <wps:cNvPr id="1282" name="角丸四角形 3"/>
                            <wps:cNvSpPr/>
                            <wps:spPr>
                              <a:xfrm>
                                <a:off x="0" y="0"/>
                                <a:ext cx="884555" cy="32004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地域ケア</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wps:txbx>
                            <wps:bodyPr vertOverflow="clip" horzOverflow="clip" wrap="square" rtlCol="0" anchor="t"/>
                          </wps:wsp>
                        </a:graphicData>
                      </a:graphic>
                    </wp:anchor>
                  </w:drawing>
                </mc:Choice>
                <mc:Fallback>
                  <w:pict>
                    <v:roundrect id="角丸四角形 3" style="mso-wrap-distance-right:9pt;mso-wrap-distance-bottom:0pt;margin-top:32.4pt;mso-position-vertical-relative:text;mso-position-horizontal-relative:text;v-text-anchor:top;position:absolute;height:25.2pt;mso-wrap-distance-top:0pt;width:69.650000000000006pt;mso-wrap-distance-left:9pt;margin-left:63.15pt;z-index:235;" o:spid="_x0000_s1282"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地域ケア</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34" behindDoc="0" locked="0" layoutInCell="1" hidden="0" allowOverlap="1">
                      <wp:simplePos x="0" y="0"/>
                      <wp:positionH relativeFrom="column">
                        <wp:posOffset>-40640</wp:posOffset>
                      </wp:positionH>
                      <wp:positionV relativeFrom="paragraph">
                        <wp:posOffset>419100</wp:posOffset>
                      </wp:positionV>
                      <wp:extent cx="884555" cy="320040"/>
                      <wp:effectExtent l="635" t="635" r="635" b="635"/>
                      <wp:wrapNone/>
                      <wp:docPr id="1283" name="角丸四角形 3"/>
                      <a:graphic xmlns:a="http://schemas.openxmlformats.org/drawingml/2006/main">
                        <a:graphicData uri="http://schemas.microsoft.com/office/word/2010/wordprocessingShape">
                          <wps:wsp>
                            <wps:cNvPr id="1283" name="角丸四角形 3"/>
                            <wps:cNvSpPr/>
                            <wps:spPr>
                              <a:xfrm>
                                <a:off x="0" y="0"/>
                                <a:ext cx="884555" cy="320040"/>
                              </a:xfrm>
                              <a:prstGeom prst="round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自立支援型</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txbxContent>
                            </wps:txbx>
                            <wps:bodyPr vertOverflow="clip" horzOverflow="clip" wrap="square" rtlCol="0" anchor="t"/>
                          </wps:wsp>
                        </a:graphicData>
                      </a:graphic>
                    </wp:anchor>
                  </w:drawing>
                </mc:Choice>
                <mc:Fallback>
                  <w:pict>
                    <v:roundrect id="角丸四角形 3" style="mso-wrap-distance-right:9pt;mso-wrap-distance-bottom:0pt;margin-top:33pt;mso-position-vertical-relative:text;mso-position-horizontal-relative:text;v-text-anchor:top;position:absolute;height:25.2pt;mso-wrap-distance-top:0pt;width:69.650000000000006pt;mso-wrap-distance-left:9pt;margin-left:-3.2pt;z-index:234;" o:spid="_x0000_s1283" o:allowincell="t" o:allowoverlap="t" filled="f" stroked="f" strokecolor="#70ad47 [3209]" strokeweight="0.5pt" o:spt="2" arcsize="10923f">
                      <v:fill/>
                      <v:stroke linestyle="single" miterlimit="8" endcap="flat" dashstyle="solid"/>
                      <v:textbox style="layout-flow:horizontal;">
                        <w:txbxContent>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自立支援型</w:t>
                            </w:r>
                          </w:p>
                          <w:p>
                            <w:pPr>
                              <w:pStyle w:val="0"/>
                              <w:spacing w:line="160" w:lineRule="exact"/>
                              <w:ind w:left="-1" w:leftChars="-59" w:right="-163" w:rightChars="-68" w:hanging="141" w:hangingChars="88"/>
                              <w:jc w:val="center"/>
                              <w:rPr>
                                <w:rFonts w:hint="default" w:ascii="ＭＳ ゴシック" w:hAnsi="ＭＳ ゴシック" w:eastAsia="ＭＳ ゴシック"/>
                                <w:color w:val="000000" w:themeColor="text1"/>
                                <w:kern w:val="0"/>
                                <w:sz w:val="16"/>
                              </w:rPr>
                            </w:pPr>
                            <w:r>
                              <w:rPr>
                                <w:rFonts w:hint="eastAsia" w:ascii="ＭＳ ゴシック" w:hAnsi="ＭＳ ゴシック" w:eastAsia="ＭＳ ゴシック"/>
                                <w:color w:val="000000" w:themeColor="text1"/>
                                <w:kern w:val="0"/>
                                <w:sz w:val="16"/>
                              </w:rPr>
                              <w:t>個別会議</w:t>
                            </w: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33" behindDoc="0" locked="0" layoutInCell="1" hidden="0" allowOverlap="1">
                      <wp:simplePos x="0" y="0"/>
                      <wp:positionH relativeFrom="column">
                        <wp:posOffset>1692275</wp:posOffset>
                      </wp:positionH>
                      <wp:positionV relativeFrom="paragraph">
                        <wp:posOffset>374015</wp:posOffset>
                      </wp:positionV>
                      <wp:extent cx="795020" cy="391160"/>
                      <wp:effectExtent l="635" t="635" r="29845" b="10795"/>
                      <wp:wrapNone/>
                      <wp:docPr id="1284" name="角丸四角形 3"/>
                      <a:graphic xmlns:a="http://schemas.openxmlformats.org/drawingml/2006/main">
                        <a:graphicData uri="http://schemas.microsoft.com/office/word/2010/wordprocessingShape">
                          <wps:wsp>
                            <wps:cNvPr id="1284" name="角丸四角形 3"/>
                            <wps:cNvSpPr/>
                            <wps:spPr>
                              <a:xfrm>
                                <a:off x="0" y="0"/>
                                <a:ext cx="795020" cy="39116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29.45pt;mso-position-vertical-relative:text;mso-position-horizontal-relative:text;v-text-anchor:top;position:absolute;height:30.8pt;mso-wrap-distance-top:0pt;width:62.6pt;mso-wrap-distance-left:9pt;margin-left:133.25pt;z-index:233;" o:spid="_x0000_s1284"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32" behindDoc="0" locked="0" layoutInCell="1" hidden="0" allowOverlap="1">
                      <wp:simplePos x="0" y="0"/>
                      <wp:positionH relativeFrom="column">
                        <wp:posOffset>843280</wp:posOffset>
                      </wp:positionH>
                      <wp:positionV relativeFrom="paragraph">
                        <wp:posOffset>374015</wp:posOffset>
                      </wp:positionV>
                      <wp:extent cx="795020" cy="391160"/>
                      <wp:effectExtent l="635" t="635" r="29845" b="10795"/>
                      <wp:wrapNone/>
                      <wp:docPr id="1285" name="角丸四角形 3"/>
                      <a:graphic xmlns:a="http://schemas.openxmlformats.org/drawingml/2006/main">
                        <a:graphicData uri="http://schemas.microsoft.com/office/word/2010/wordprocessingShape">
                          <wps:wsp>
                            <wps:cNvPr id="1285" name="角丸四角形 3"/>
                            <wps:cNvSpPr/>
                            <wps:spPr>
                              <a:xfrm>
                                <a:off x="0" y="0"/>
                                <a:ext cx="795020" cy="39116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29.45pt;mso-position-vertical-relative:text;mso-position-horizontal-relative:text;v-text-anchor:top;position:absolute;height:30.8pt;mso-wrap-distance-top:0pt;width:62.6pt;mso-wrap-distance-left:9pt;margin-left:66.400000000000006pt;z-index:232;" o:spid="_x0000_s1285"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r>
              <w:rPr>
                <w:rFonts w:hint="default" w:ascii="ＭＳ ゴシック" w:hAnsi="ＭＳ ゴシック" w:eastAsia="ＭＳ ゴシック"/>
              </w:rPr>
              <mc:AlternateContent>
                <mc:Choice Requires="wps">
                  <w:drawing>
                    <wp:anchor distT="0" distB="0" distL="114300" distR="114300" simplePos="0" relativeHeight="231" behindDoc="0" locked="0" layoutInCell="1" hidden="0" allowOverlap="1">
                      <wp:simplePos x="0" y="0"/>
                      <wp:positionH relativeFrom="column">
                        <wp:posOffset>0</wp:posOffset>
                      </wp:positionH>
                      <wp:positionV relativeFrom="paragraph">
                        <wp:posOffset>374015</wp:posOffset>
                      </wp:positionV>
                      <wp:extent cx="795020" cy="391160"/>
                      <wp:effectExtent l="635" t="635" r="29845" b="10795"/>
                      <wp:wrapNone/>
                      <wp:docPr id="1286" name="角丸四角形 3"/>
                      <a:graphic xmlns:a="http://schemas.openxmlformats.org/drawingml/2006/main">
                        <a:graphicData uri="http://schemas.microsoft.com/office/word/2010/wordprocessingShape">
                          <wps:wsp>
                            <wps:cNvPr id="1286" name="角丸四角形 3"/>
                            <wps:cNvSpPr/>
                            <wps:spPr>
                              <a:xfrm>
                                <a:off x="0" y="0"/>
                                <a:ext cx="795020" cy="391160"/>
                              </a:xfrm>
                              <a:prstGeom prst="roundRect">
                                <a:avLst/>
                              </a:prstGeom>
                              <a:solidFill>
                                <a:schemeClr val="accent4">
                                  <a:lumMod val="60000"/>
                                  <a:lumOff val="4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wps:txbx>
                            <wps:bodyPr vertOverflow="clip" horzOverflow="clip" vert="eaVert" wrap="square" rtlCol="0" anchor="t"/>
                          </wps:wsp>
                        </a:graphicData>
                      </a:graphic>
                    </wp:anchor>
                  </w:drawing>
                </mc:Choice>
                <mc:Fallback>
                  <w:pict>
                    <v:roundrect id="角丸四角形 3" style="mso-wrap-distance-right:9pt;mso-wrap-distance-bottom:0pt;margin-top:29.45pt;mso-position-vertical-relative:text;mso-position-horizontal-relative:text;v-text-anchor:top;position:absolute;height:30.8pt;mso-wrap-distance-top:0pt;width:62.6pt;mso-wrap-distance-left:9pt;margin-left:0pt;z-index:231;" o:spid="_x0000_s1286" o:allowincell="t" o:allowoverlap="t" filled="t" fillcolor="#ffd966 [1943]" stroked="t" strokecolor="#000000 [3213]" strokeweight="0.5pt" o:spt="2" arcsize="10923f">
                      <v:fill/>
                      <v:stroke linestyle="single" miterlimit="8" endcap="flat" dashstyle="solid" filltype="solid"/>
                      <v:textbox style="layout-flow:vertical-ideographic;">
                        <w:txbxContent>
                          <w:p>
                            <w:pPr>
                              <w:pStyle w:val="0"/>
                              <w:spacing w:line="160" w:lineRule="exact"/>
                              <w:ind w:left="-54" w:leftChars="-59" w:right="-163" w:rightChars="-68" w:hanging="88" w:hangingChars="88"/>
                              <w:jc w:val="center"/>
                              <w:rPr>
                                <w:rFonts w:hint="default" w:ascii="ＭＳ ゴシック" w:hAnsi="ＭＳ ゴシック" w:eastAsia="ＭＳ ゴシック"/>
                                <w:b w:val="1"/>
                                <w:color w:val="FFFFFF" w:themeColor="background1"/>
                                <w:kern w:val="0"/>
                                <w:sz w:val="10"/>
                                <w:shd w:val="clear" w:color="auto" w:themeFill="background1" w:themeFillTint="FF" w:themeFillShade="FF"/>
                              </w:rPr>
                            </w:pPr>
                          </w:p>
                        </w:txbxContent>
                      </v:textbox>
                      <v:imagedata o:title=""/>
                      <w10:wrap type="none" anchorx="text" anchory="text"/>
                    </v:roundrect>
                  </w:pict>
                </mc:Fallback>
              </mc:AlternateContent>
            </w:r>
          </w:p>
        </w:tc>
        <w:tc>
          <w:tcPr>
            <w:tcW w:w="2977" w:type="dxa"/>
            <w:tcBorders>
              <w:top w:val="dashSmallGap"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rPr>
            </w:pP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オ）介護に取り組む家族等への支援</w:t>
      </w:r>
    </w:p>
    <w:p>
      <w:pPr>
        <w:pStyle w:val="0"/>
        <w:ind w:left="480" w:leftChars="100" w:hanging="240" w:hangingChars="100"/>
        <w:jc w:val="both"/>
        <w:rPr>
          <w:rFonts w:hint="default"/>
        </w:rPr>
      </w:pPr>
      <w:r>
        <w:rPr>
          <w:rFonts w:hint="eastAsia"/>
        </w:rPr>
        <w:t>○　介護離職の防止など、介護に取り組む家族等を支援する観点から、介護保険サービスの利用や介護と仕事の両立に関する相談対応、認知症家族会（びわの会）や男性介護者のつどいなどの情報提供を行う等、地域包括支援センターが介護に取り組む家族等への支援を行います。</w:t>
      </w:r>
    </w:p>
    <w:p>
      <w:pPr>
        <w:pStyle w:val="0"/>
        <w:rPr>
          <w:rFonts w:hint="default"/>
        </w:rPr>
      </w:pPr>
      <w:r>
        <w:rPr>
          <w:rFonts w:hint="eastAsia"/>
        </w:rPr>
        <w:br w:type="page"/>
      </w:r>
    </w:p>
    <w:p>
      <w:pPr>
        <w:pStyle w:val="4"/>
        <w:ind w:left="0" w:leftChars="0"/>
        <w:jc w:val="both"/>
        <w:rPr>
          <w:rFonts w:hint="default" w:ascii="ＭＳ ゴシック" w:hAnsi="ＭＳ ゴシック" w:eastAsia="ＭＳ ゴシック"/>
          <w:b w:val="0"/>
          <w:sz w:val="28"/>
        </w:rPr>
      </w:pPr>
      <w:bookmarkStart w:id="105" w:name="_Toc59007818"/>
      <w:r>
        <w:rPr>
          <w:rFonts w:hint="eastAsia" w:ascii="ＭＳ ゴシック" w:hAnsi="ＭＳ ゴシック" w:eastAsia="ＭＳ ゴシック"/>
          <w:b w:val="0"/>
          <w:sz w:val="28"/>
        </w:rPr>
        <w:t>（３）総合事業の推進</w:t>
      </w:r>
      <w:bookmarkEnd w:id="105"/>
    </w:p>
    <w:p>
      <w:pPr>
        <w:pStyle w:val="5"/>
        <w:ind w:left="0" w:leftChars="0" w:firstLine="240" w:firstLineChars="100"/>
        <w:jc w:val="both"/>
        <w:rPr>
          <w:rFonts w:hint="default" w:ascii="ＭＳ ゴシック" w:hAnsi="ＭＳ ゴシック" w:eastAsia="ＭＳ ゴシック"/>
        </w:rPr>
      </w:pPr>
      <w:bookmarkStart w:id="106" w:name="_Toc512263451"/>
      <w:bookmarkEnd w:id="106"/>
      <w:bookmarkStart w:id="107" w:name="_Toc59007819"/>
      <w:r>
        <w:rPr>
          <w:rFonts w:hint="eastAsia" w:ascii="ＭＳ ゴシック" w:hAnsi="ＭＳ ゴシック" w:eastAsia="ＭＳ ゴシック"/>
        </w:rPr>
        <w:t>ア）総合事業の実施</w:t>
      </w:r>
      <w:bookmarkEnd w:id="107"/>
    </w:p>
    <w:p>
      <w:pPr>
        <w:pStyle w:val="0"/>
        <w:ind w:left="600" w:leftChars="150" w:hanging="240" w:hangingChars="100"/>
        <w:jc w:val="both"/>
        <w:rPr>
          <w:rFonts w:hint="default"/>
          <w:color w:val="000000" w:themeColor="text1"/>
        </w:rPr>
      </w:pPr>
      <w:r>
        <w:rPr>
          <w:rFonts w:hint="eastAsia"/>
          <w:color w:val="000000" w:themeColor="text1"/>
        </w:rPr>
        <w:t>○　総合事業は、市町村が中心となって、地域の実情に応じた多様な主体の参画による多様なサービスを充実させることにより、効果的な介護予防を進めるとともに、生活支援サービスの拡充及び担い手の拡大など地域の支え合い体制づくりの推進により、要支援者等に対する効果的・効率的な支援を可能とすることを目的としています。</w:t>
      </w:r>
    </w:p>
    <w:p>
      <w:pPr>
        <w:pStyle w:val="0"/>
        <w:ind w:left="600" w:leftChars="150" w:hanging="240" w:hangingChars="100"/>
        <w:jc w:val="both"/>
        <w:rPr>
          <w:rFonts w:hint="default"/>
          <w:color w:val="000000" w:themeColor="text1"/>
        </w:rPr>
      </w:pPr>
      <w:r>
        <w:rPr>
          <w:rFonts w:hint="eastAsia"/>
          <w:color w:val="000000" w:themeColor="text1"/>
        </w:rPr>
        <w:t>○　本市では平成</w:t>
      </w:r>
      <w:r>
        <w:rPr>
          <w:rFonts w:hint="eastAsia"/>
          <w:color w:val="000000" w:themeColor="text1"/>
        </w:rPr>
        <w:t>27</w:t>
      </w:r>
      <w:r>
        <w:rPr>
          <w:rFonts w:hint="eastAsia"/>
          <w:color w:val="000000" w:themeColor="text1"/>
        </w:rPr>
        <w:t>年度</w:t>
      </w:r>
      <w:r>
        <w:rPr>
          <w:rFonts w:hint="eastAsia"/>
          <w:color w:val="000000" w:themeColor="text1"/>
        </w:rPr>
        <w:t>(2015</w:t>
      </w:r>
      <w:r>
        <w:rPr>
          <w:rFonts w:hint="eastAsia"/>
          <w:color w:val="000000" w:themeColor="text1"/>
        </w:rPr>
        <w:t>年度</w:t>
      </w:r>
      <w:r>
        <w:rPr>
          <w:rFonts w:hint="eastAsia"/>
          <w:color w:val="000000" w:themeColor="text1"/>
        </w:rPr>
        <w:t>)</w:t>
      </w:r>
      <w:r>
        <w:rPr>
          <w:rFonts w:hint="eastAsia"/>
          <w:color w:val="000000" w:themeColor="text1"/>
        </w:rPr>
        <w:t>から総合事業を開始し、要支援者及び事業対象者を対象に、第１号訪問事業（訪問型サービス）、第１号通所事業（通所型サービス）、第１号介護予防支援事業（介護予防ケアマネジメント）を実施しています。</w:t>
      </w:r>
    </w:p>
    <w:p>
      <w:pPr>
        <w:pStyle w:val="0"/>
        <w:ind w:left="360" w:leftChars="150" w:firstLine="240" w:firstLineChars="100"/>
        <w:jc w:val="both"/>
        <w:rPr>
          <w:rFonts w:hint="default"/>
          <w:color w:val="000000" w:themeColor="text1"/>
        </w:rPr>
      </w:pPr>
      <w:r>
        <w:rPr>
          <w:rFonts w:hint="eastAsia"/>
          <w:color w:val="000000" w:themeColor="text1"/>
        </w:rPr>
        <w:t>※第１号訪問事業（訪問型サービス）</w:t>
      </w:r>
    </w:p>
    <w:p>
      <w:pPr>
        <w:pStyle w:val="0"/>
        <w:ind w:left="360" w:leftChars="150" w:firstLine="720" w:firstLineChars="300"/>
        <w:jc w:val="both"/>
        <w:rPr>
          <w:rFonts w:hint="default"/>
          <w:color w:val="000000" w:themeColor="text1"/>
        </w:rPr>
      </w:pPr>
      <w:r>
        <w:rPr>
          <w:rFonts w:hint="eastAsia"/>
          <w:color w:val="000000" w:themeColor="text1"/>
        </w:rPr>
        <w:t>要支援者等に対し、掃除、洗濯などの日常生活上の支援を提供します。</w:t>
      </w:r>
    </w:p>
    <w:p>
      <w:pPr>
        <w:pStyle w:val="0"/>
        <w:ind w:firstLine="600" w:firstLineChars="250"/>
        <w:jc w:val="both"/>
        <w:rPr>
          <w:rFonts w:hint="default"/>
          <w:color w:val="000000" w:themeColor="text1"/>
        </w:rPr>
      </w:pPr>
      <w:r>
        <w:rPr>
          <w:rFonts w:hint="eastAsia"/>
          <w:color w:val="000000" w:themeColor="text1"/>
        </w:rPr>
        <w:t>※第１号通所事業（通所型サービス）</w:t>
      </w:r>
    </w:p>
    <w:p>
      <w:pPr>
        <w:pStyle w:val="0"/>
        <w:ind w:left="720" w:leftChars="300" w:firstLine="360" w:firstLineChars="150"/>
        <w:jc w:val="both"/>
        <w:rPr>
          <w:rFonts w:hint="default"/>
          <w:color w:val="000000" w:themeColor="text1"/>
        </w:rPr>
      </w:pPr>
      <w:r>
        <w:rPr>
          <w:rFonts w:hint="eastAsia"/>
          <w:color w:val="000000" w:themeColor="text1"/>
        </w:rPr>
        <w:t>要支援者等に対し、機能訓練やつどいの場など、日常生活上の支援を提供します。</w:t>
      </w:r>
    </w:p>
    <w:p>
      <w:pPr>
        <w:pStyle w:val="0"/>
        <w:ind w:firstLine="600" w:firstLineChars="250"/>
        <w:jc w:val="both"/>
        <w:rPr>
          <w:rFonts w:hint="default"/>
          <w:color w:val="000000" w:themeColor="text1"/>
        </w:rPr>
      </w:pPr>
      <w:r>
        <w:rPr>
          <w:rFonts w:hint="eastAsia"/>
          <w:color w:val="000000" w:themeColor="text1"/>
        </w:rPr>
        <w:t>※</w:t>
      </w:r>
      <w:r>
        <w:rPr>
          <w:rFonts w:hint="default"/>
          <w:color w:val="000000" w:themeColor="text1"/>
        </w:rPr>
        <w:t>第１号介護予防支援事業</w:t>
      </w:r>
      <w:r>
        <w:rPr>
          <w:rFonts w:hint="eastAsia"/>
          <w:color w:val="000000" w:themeColor="text1"/>
        </w:rPr>
        <w:t>（介護予防ケアマネジメント</w:t>
      </w:r>
      <w:r>
        <w:rPr>
          <w:rFonts w:hint="default"/>
          <w:color w:val="000000" w:themeColor="text1"/>
        </w:rPr>
        <w:t>）</w:t>
      </w:r>
    </w:p>
    <w:p>
      <w:pPr>
        <w:pStyle w:val="0"/>
        <w:ind w:left="840" w:leftChars="350" w:firstLine="240" w:firstLineChars="100"/>
        <w:jc w:val="both"/>
        <w:rPr>
          <w:rFonts w:hint="default"/>
          <w:color w:val="000000" w:themeColor="text1"/>
        </w:rPr>
      </w:pPr>
      <w:r>
        <w:rPr>
          <w:rFonts w:hint="eastAsia"/>
          <w:color w:val="000000" w:themeColor="text1"/>
        </w:rPr>
        <w:t>要支援者</w:t>
      </w:r>
      <w:r>
        <w:rPr>
          <w:rFonts w:hint="default"/>
          <w:color w:val="000000" w:themeColor="text1"/>
        </w:rPr>
        <w:t>等に</w:t>
      </w:r>
      <w:r>
        <w:rPr>
          <w:rFonts w:hint="eastAsia"/>
          <w:color w:val="000000" w:themeColor="text1"/>
        </w:rPr>
        <w:t>対し、</w:t>
      </w:r>
      <w:r>
        <w:rPr>
          <w:rFonts w:hint="default"/>
          <w:color w:val="000000" w:themeColor="text1"/>
        </w:rPr>
        <w:t>総合事業に</w:t>
      </w:r>
      <w:r>
        <w:rPr>
          <w:rFonts w:hint="eastAsia"/>
          <w:color w:val="000000" w:themeColor="text1"/>
        </w:rPr>
        <w:t>よる</w:t>
      </w:r>
      <w:r>
        <w:rPr>
          <w:rFonts w:hint="default"/>
          <w:color w:val="000000" w:themeColor="text1"/>
        </w:rPr>
        <w:t>サービス</w:t>
      </w:r>
      <w:r>
        <w:rPr>
          <w:rFonts w:hint="eastAsia"/>
          <w:color w:val="000000" w:themeColor="text1"/>
        </w:rPr>
        <w:t>等</w:t>
      </w:r>
      <w:r>
        <w:rPr>
          <w:rFonts w:hint="default"/>
          <w:color w:val="000000" w:themeColor="text1"/>
        </w:rPr>
        <w:t>が</w:t>
      </w:r>
      <w:r>
        <w:rPr>
          <w:rFonts w:hint="eastAsia"/>
          <w:color w:val="000000" w:themeColor="text1"/>
        </w:rPr>
        <w:t>適切に</w:t>
      </w:r>
      <w:r>
        <w:rPr>
          <w:rFonts w:hint="default"/>
          <w:color w:val="000000" w:themeColor="text1"/>
        </w:rPr>
        <w:t>提供できるようケアマネジメントを行います</w:t>
      </w:r>
      <w:r>
        <w:rPr>
          <w:rFonts w:hint="eastAsia"/>
          <w:color w:val="000000" w:themeColor="text1"/>
        </w:rPr>
        <w:t>。</w:t>
      </w:r>
    </w:p>
    <w:p>
      <w:pPr>
        <w:pStyle w:val="0"/>
        <w:ind w:left="600" w:leftChars="150" w:hanging="240" w:hangingChars="100"/>
        <w:jc w:val="both"/>
        <w:rPr>
          <w:rFonts w:hint="default"/>
          <w:color w:val="000000" w:themeColor="text1"/>
        </w:rPr>
      </w:pPr>
      <w:r>
        <w:rPr>
          <w:rFonts w:hint="eastAsia"/>
          <w:color w:val="000000" w:themeColor="text1"/>
        </w:rPr>
        <w:t>○　訪問型サービスでは、従前の介護予防訪問介護に相当するものと、それ以外の多様なサービス（緩和した基準によるサービス</w:t>
      </w:r>
      <w:r>
        <w:rPr>
          <w:rFonts w:hint="eastAsia"/>
          <w:color w:val="000000" w:themeColor="text1"/>
          <w:vertAlign w:val="superscript"/>
        </w:rPr>
        <w:t>※</w:t>
      </w:r>
      <w:r>
        <w:rPr>
          <w:rStyle w:val="42"/>
          <w:rFonts w:hint="eastAsia"/>
          <w:color w:val="000000" w:themeColor="text1"/>
        </w:rPr>
        <w:footnoteReference w:id="14"/>
      </w:r>
      <w:r>
        <w:rPr>
          <w:rFonts w:hint="eastAsia"/>
          <w:color w:val="000000" w:themeColor="text1"/>
        </w:rPr>
        <w:t>、短期集中予防サービス）を提供します。</w:t>
      </w:r>
    </w:p>
    <w:p>
      <w:pPr>
        <w:pStyle w:val="0"/>
        <w:ind w:left="600" w:leftChars="150" w:hanging="240" w:hangingChars="100"/>
        <w:jc w:val="both"/>
        <w:rPr>
          <w:rFonts w:hint="default"/>
          <w:color w:val="000000" w:themeColor="text1"/>
        </w:rPr>
      </w:pPr>
      <w:r>
        <w:rPr>
          <w:rFonts w:hint="eastAsia"/>
          <w:color w:val="000000" w:themeColor="text1"/>
        </w:rPr>
        <w:t>○　通所型サービスでは、従前の介護予防通所介護に相当するものと、それ以外の多様なサービス（緩和した基準によるサービス、短期集中予防サービス）を提供します。</w:t>
      </w:r>
    </w:p>
    <w:p>
      <w:pPr>
        <w:pStyle w:val="0"/>
        <w:ind w:left="600" w:leftChars="150" w:hanging="240" w:hangingChars="100"/>
        <w:jc w:val="both"/>
        <w:rPr>
          <w:rFonts w:hint="default" w:ascii="ＭＳ ゴシック" w:hAnsi="ＭＳ ゴシック" w:eastAsia="ＭＳ ゴシック"/>
          <w:sz w:val="21"/>
        </w:rPr>
      </w:pPr>
      <w:r>
        <w:rPr>
          <w:rFonts w:hint="default"/>
          <w:color w:val="000000" w:themeColor="text1"/>
        </w:rPr>
        <w:t>○</w:t>
      </w:r>
      <w:r>
        <w:rPr>
          <w:rFonts w:hint="default"/>
          <w:color w:val="000000" w:themeColor="text1"/>
        </w:rPr>
        <w:t>　</w:t>
      </w:r>
      <w:r>
        <w:rPr>
          <w:rFonts w:hint="eastAsia"/>
          <w:color w:val="000000" w:themeColor="text1"/>
        </w:rPr>
        <w:t>本市では、訪問型サービス、通所型サービスの利用を希望される総合事業の事業対象者や要支援者に対して、地域包括支援センターやケアマネジャーを中心にリハビリテーション専門職やサービス事業者など多職種が関わり、利用者や家族の意向もふまえ、予後予測のもと自立に向けた短期・長期目標を関係者で共有し、適切なサービス利用による自立支援を推進します。</w:t>
      </w:r>
    </w:p>
    <w:p>
      <w:pPr>
        <w:pStyle w:val="0"/>
        <w:ind w:left="600" w:leftChars="150" w:hanging="240" w:hangingChars="100"/>
        <w:jc w:val="both"/>
        <w:rPr>
          <w:rFonts w:hint="default" w:ascii="ＭＳ ゴシック" w:hAnsi="ＭＳ ゴシック" w:eastAsia="ＭＳ ゴシック"/>
          <w:sz w:val="21"/>
        </w:rPr>
      </w:pPr>
      <w:r>
        <w:rPr>
          <w:rFonts w:hint="eastAsia"/>
          <w:color w:val="000000" w:themeColor="text1"/>
        </w:rPr>
        <w:t>○　また、</w:t>
      </w:r>
      <w:r>
        <w:rPr>
          <w:rFonts w:hint="eastAsia"/>
        </w:rPr>
        <w:t>介護予防ケアマネジメントに基づく自立支援に向けたサービス利用を促進するため、総合事業の制度や考えかたについて、関係機関や事業者等に対して、継続して周知を行っていきます。</w:t>
      </w:r>
    </w:p>
    <w:p>
      <w:pPr>
        <w:pStyle w:val="0"/>
        <w:ind w:left="600" w:leftChars="150" w:hanging="240" w:hangingChars="100"/>
        <w:jc w:val="both"/>
        <w:rPr>
          <w:rFonts w:hint="default" w:ascii="ＭＳ ゴシック" w:hAnsi="ＭＳ ゴシック" w:eastAsia="ＭＳ ゴシック"/>
          <w:color w:val="000000" w:themeColor="text1"/>
          <w:sz w:val="21"/>
        </w:rPr>
      </w:pPr>
      <w:r>
        <w:rPr>
          <w:rFonts w:hint="eastAsia"/>
          <w:color w:val="000000" w:themeColor="text1"/>
        </w:rPr>
        <w:t>○　今後も、国ガイドラインを参考にしながら、サービス事業者の意見や、多職種連携元気サポート会議等の場を活用した地域包括支援センター職員やケアマネジャーなどの議論をふまえ、定期的に総合事業の検証や分析を行っていきます。</w:t>
      </w:r>
    </w:p>
    <w:p>
      <w:pPr>
        <w:pStyle w:val="0"/>
        <w:rPr>
          <w:rFonts w:hint="default"/>
          <w:color w:val="000000" w:themeColor="text1"/>
          <w:sz w:val="21"/>
        </w:rPr>
      </w:pPr>
    </w:p>
    <w:p>
      <w:pPr>
        <w:pStyle w:val="0"/>
        <w:rPr>
          <w:rFonts w:hint="default"/>
          <w:color w:val="000000" w:themeColor="text1"/>
          <w:sz w:val="21"/>
        </w:rPr>
      </w:pPr>
    </w:p>
    <w:p>
      <w:pPr>
        <w:pStyle w:val="0"/>
        <w:rPr>
          <w:rFonts w:hint="default"/>
          <w:color w:val="000000" w:themeColor="text1"/>
          <w:sz w:val="21"/>
        </w:rPr>
      </w:pPr>
    </w:p>
    <w:p>
      <w:pPr>
        <w:pStyle w:val="0"/>
        <w:rPr>
          <w:rFonts w:hint="default"/>
          <w:color w:val="000000" w:themeColor="text1"/>
          <w:sz w:val="21"/>
        </w:rPr>
      </w:pPr>
    </w:p>
    <w:p>
      <w:pPr>
        <w:pStyle w:val="0"/>
        <w:rPr>
          <w:rFonts w:hint="default"/>
          <w:color w:val="000000" w:themeColor="text1"/>
          <w:sz w:val="21"/>
        </w:rPr>
      </w:pPr>
    </w:p>
    <w:p>
      <w:pPr>
        <w:pStyle w:val="0"/>
        <w:ind w:left="811" w:hanging="811"/>
        <w:jc w:val="center"/>
        <w:rPr>
          <w:rFonts w:hint="default"/>
          <w:sz w:val="21"/>
        </w:rPr>
      </w:pPr>
      <w:r>
        <w:rPr>
          <w:rFonts w:hint="eastAsia"/>
        </w:rPr>
        <w:drawing>
          <wp:anchor distT="0" distB="0" distL="114300" distR="114300" simplePos="0" relativeHeight="44" behindDoc="1" locked="0" layoutInCell="1" hidden="0" allowOverlap="1">
            <wp:simplePos x="0" y="0"/>
            <wp:positionH relativeFrom="column">
              <wp:posOffset>1181735</wp:posOffset>
            </wp:positionH>
            <wp:positionV relativeFrom="paragraph">
              <wp:posOffset>209550</wp:posOffset>
            </wp:positionV>
            <wp:extent cx="4632325" cy="3192780"/>
            <wp:effectExtent l="0" t="0" r="0" b="0"/>
            <wp:wrapNone/>
            <wp:docPr id="1287" name="オブジェクト 0"/>
            <a:graphic xmlns:a="http://schemas.openxmlformats.org/drawingml/2006/main">
              <a:graphicData uri="http://schemas.openxmlformats.org/drawingml/2006/picture">
                <pic:pic xmlns:pic="http://schemas.openxmlformats.org/drawingml/2006/picture">
                  <pic:nvPicPr>
                    <pic:cNvPr id="1287" name="オブジェクト 0"/>
                    <pic:cNvPicPr>
                      <a:picLocks noChangeAspect="1"/>
                    </pic:cNvPicPr>
                  </pic:nvPicPr>
                  <pic:blipFill>
                    <a:blip r:embed="rId99"/>
                    <a:srcRect t="6970"/>
                    <a:stretch>
                      <a:fillRect/>
                    </a:stretch>
                  </pic:blipFill>
                  <pic:spPr>
                    <a:xfrm>
                      <a:off x="0" y="0"/>
                      <a:ext cx="4632325" cy="3192780"/>
                    </a:xfrm>
                    <a:prstGeom prst="rect">
                      <a:avLst/>
                    </a:prstGeom>
                    <a:ln>
                      <a:noFill/>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87</w:t>
      </w:r>
      <w:r>
        <w:rPr>
          <w:rFonts w:hint="eastAsia" w:ascii="ＭＳ ゴシック" w:hAnsi="ＭＳ ゴシック" w:eastAsia="ＭＳ ゴシック"/>
          <w:sz w:val="21"/>
        </w:rPr>
        <w:t>：本市の自立に向けたサービス利用の流れ</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ascii="ＭＳ ゴシック" w:hAnsi="ＭＳ ゴシック" w:eastAsia="ＭＳ ゴシック"/>
          <w:b w:val="1"/>
          <w:sz w:val="22"/>
          <w:u w:val="single" w:color="auto"/>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88</w:t>
      </w:r>
      <w:r>
        <w:rPr>
          <w:rFonts w:hint="eastAsia" w:ascii="ＭＳ ゴシック" w:hAnsi="ＭＳ ゴシック" w:eastAsia="ＭＳ ゴシック"/>
          <w:sz w:val="21"/>
        </w:rPr>
        <w:t>：訪問型サービス</w:t>
      </w:r>
    </w:p>
    <w:tbl>
      <w:tblPr>
        <w:tblStyle w:val="59"/>
        <w:tblW w:w="9634" w:type="dxa"/>
        <w:tblInd w:w="0" w:type="dxa"/>
        <w:tblLayout w:type="fixed"/>
        <w:tblLook w:firstRow="1" w:lastRow="0" w:firstColumn="1" w:lastColumn="0" w:noHBand="0" w:noVBand="1" w:val="04A0"/>
      </w:tblPr>
      <w:tblGrid>
        <w:gridCol w:w="394"/>
        <w:gridCol w:w="1586"/>
        <w:gridCol w:w="2835"/>
        <w:gridCol w:w="2551"/>
        <w:gridCol w:w="2268"/>
      </w:tblGrid>
      <w:tr>
        <w:trPr>
          <w:trHeight w:val="64" w:hRule="atLeast"/>
        </w:trPr>
        <w:tc>
          <w:tcPr>
            <w:tcW w:w="1980" w:type="dxa"/>
            <w:gridSpan w:val="2"/>
            <w:vMerge w:val="restart"/>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7654" w:type="dxa"/>
            <w:gridSpan w:val="3"/>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color w:val="FFFFFF" w:themeColor="background1"/>
                <w:sz w:val="22"/>
              </w:rPr>
            </w:pPr>
            <w:r>
              <w:rPr>
                <w:rFonts w:hint="eastAsia" w:ascii="ＭＳ ゴシック" w:hAnsi="ＭＳ ゴシック" w:eastAsia="ＭＳ ゴシック"/>
                <w:color w:val="FFFFFF" w:themeColor="background1"/>
                <w:sz w:val="22"/>
              </w:rPr>
              <w:t>総合事業</w:t>
            </w:r>
          </w:p>
        </w:tc>
      </w:tr>
      <w:tr>
        <w:trPr>
          <w:trHeight w:val="171" w:hRule="atLeast"/>
        </w:trPr>
        <w:tc>
          <w:tcPr>
            <w:tcW w:w="1980" w:type="dxa"/>
            <w:gridSpan w:val="2"/>
            <w:vMerge w:val="continue"/>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2835"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箕面市訪問介護相当</w:t>
            </w:r>
          </w:p>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サービス（専門型）</w:t>
            </w:r>
          </w:p>
        </w:tc>
        <w:tc>
          <w:tcPr>
            <w:tcW w:w="2551"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箕面市訪問型</w:t>
            </w:r>
          </w:p>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サービスＡ（緩和型）</w:t>
            </w:r>
          </w:p>
        </w:tc>
        <w:tc>
          <w:tcPr>
            <w:tcW w:w="2268"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箕面市訪問型</w:t>
            </w:r>
          </w:p>
          <w:p>
            <w:pPr>
              <w:pStyle w:val="0"/>
              <w:spacing w:line="280" w:lineRule="exact"/>
              <w:ind w:right="-142" w:rightChars="-59"/>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サービスＣ（短期集中型）</w:t>
            </w:r>
          </w:p>
        </w:tc>
      </w:tr>
      <w:tr>
        <w:trPr>
          <w:trHeight w:val="400" w:hRule="atLeast"/>
        </w:trPr>
        <w:tc>
          <w:tcPr>
            <w:tcW w:w="39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１</w:t>
            </w:r>
          </w:p>
        </w:tc>
        <w:tc>
          <w:tcPr>
            <w:tcW w:w="158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利用者の状態像</w:t>
            </w:r>
          </w:p>
        </w:tc>
        <w:tc>
          <w:tcPr>
            <w:tcW w:w="7654" w:type="dxa"/>
            <w:gridSpan w:val="3"/>
            <w:vAlign w:val="center"/>
          </w:tcPr>
          <w:p>
            <w:pPr>
              <w:pStyle w:val="0"/>
              <w:spacing w:line="280" w:lineRule="exact"/>
              <w:jc w:val="center"/>
              <w:rPr>
                <w:rFonts w:hint="default" w:ascii="ＭＳ 明朝" w:hAnsi="ＭＳ 明朝" w:eastAsia="ＭＳ 明朝"/>
                <w:sz w:val="18"/>
              </w:rPr>
            </w:pPr>
            <w:r>
              <w:rPr>
                <w:rFonts w:hint="eastAsia" w:ascii="ＭＳ 明朝" w:hAnsi="ＭＳ 明朝" w:eastAsia="ＭＳ 明朝"/>
                <w:sz w:val="18"/>
              </w:rPr>
              <w:t>要支援１・２、事業対象者</w:t>
            </w:r>
          </w:p>
        </w:tc>
      </w:tr>
      <w:tr>
        <w:trPr>
          <w:trHeight w:val="64" w:hRule="atLeast"/>
        </w:trPr>
        <w:tc>
          <w:tcPr>
            <w:tcW w:w="39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２</w:t>
            </w:r>
          </w:p>
        </w:tc>
        <w:tc>
          <w:tcPr>
            <w:tcW w:w="158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サービス内容</w:t>
            </w:r>
          </w:p>
        </w:tc>
        <w:tc>
          <w:tcPr>
            <w:tcW w:w="2835"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入浴介助、通院介助など（訪問介護員による身体介護及び生活援助）</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掃除、買い物など（生活支援サポーター等による生活援助）</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訪問指導</w:t>
            </w:r>
          </w:p>
        </w:tc>
      </w:tr>
      <w:tr>
        <w:trPr>
          <w:trHeight w:val="64" w:hRule="atLeast"/>
        </w:trPr>
        <w:tc>
          <w:tcPr>
            <w:tcW w:w="39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３</w:t>
            </w:r>
          </w:p>
        </w:tc>
        <w:tc>
          <w:tcPr>
            <w:tcW w:w="158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サービス提供者</w:t>
            </w:r>
          </w:p>
        </w:tc>
        <w:tc>
          <w:tcPr>
            <w:tcW w:w="2835"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箕面市訪問介護相当</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サービス指定事業者</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箕面市訪問型サービスＡ</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指定事業者</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市医療職</w:t>
            </w:r>
          </w:p>
        </w:tc>
      </w:tr>
      <w:tr>
        <w:trPr>
          <w:trHeight w:val="64" w:hRule="atLeast"/>
        </w:trPr>
        <w:tc>
          <w:tcPr>
            <w:tcW w:w="39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４</w:t>
            </w:r>
          </w:p>
        </w:tc>
        <w:tc>
          <w:tcPr>
            <w:tcW w:w="158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目標期間の設定</w:t>
            </w:r>
          </w:p>
        </w:tc>
        <w:tc>
          <w:tcPr>
            <w:tcW w:w="2835"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設定なし</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（サービス提供期間は無期限）</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設定あり（３～６か月）</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ただし、延長可</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設定あり</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（３～６か月）</w:t>
            </w:r>
          </w:p>
        </w:tc>
      </w:tr>
      <w:tr>
        <w:trPr>
          <w:trHeight w:val="64" w:hRule="atLeast"/>
        </w:trPr>
        <w:tc>
          <w:tcPr>
            <w:tcW w:w="39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５</w:t>
            </w:r>
          </w:p>
        </w:tc>
        <w:tc>
          <w:tcPr>
            <w:tcW w:w="158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利用者負担</w:t>
            </w:r>
          </w:p>
        </w:tc>
        <w:tc>
          <w:tcPr>
            <w:tcW w:w="5386" w:type="dxa"/>
            <w:gridSpan w:val="2"/>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介護給付の利用者負担額と同じ</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（１割または２割または３割）</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なし</w:t>
            </w:r>
          </w:p>
        </w:tc>
      </w:tr>
    </w:tbl>
    <w:p>
      <w:pPr>
        <w:pStyle w:val="0"/>
        <w:jc w:val="center"/>
        <w:rPr>
          <w:rFonts w:hint="default" w:ascii="ＭＳ ゴシック" w:hAnsi="ＭＳ ゴシック" w:eastAsia="ＭＳ ゴシック"/>
          <w:sz w:val="21"/>
        </w:rPr>
      </w:pPr>
    </w:p>
    <w:p>
      <w:pPr>
        <w:pStyle w:val="0"/>
        <w:jc w:val="center"/>
        <w:rPr>
          <w:rFonts w:hint="default" w:ascii="メイリオ" w:hAnsi="メイリオ" w:eastAsia="メイリオ"/>
          <w:b w:val="1"/>
          <w:sz w:val="28"/>
          <w:u w:val="single" w:color="auto"/>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89</w:t>
      </w:r>
      <w:r>
        <w:rPr>
          <w:rFonts w:hint="eastAsia" w:ascii="ＭＳ ゴシック" w:hAnsi="ＭＳ ゴシック" w:eastAsia="ＭＳ ゴシック"/>
          <w:sz w:val="21"/>
        </w:rPr>
        <w:t>：通所型サービス</w:t>
      </w:r>
    </w:p>
    <w:tbl>
      <w:tblPr>
        <w:tblStyle w:val="59"/>
        <w:tblW w:w="9634" w:type="dxa"/>
        <w:tblInd w:w="0" w:type="dxa"/>
        <w:tblLayout w:type="fixed"/>
        <w:tblLook w:firstRow="1" w:lastRow="0" w:firstColumn="1" w:lastColumn="0" w:noHBand="0" w:noVBand="1" w:val="04A0"/>
      </w:tblPr>
      <w:tblGrid>
        <w:gridCol w:w="396"/>
        <w:gridCol w:w="1584"/>
        <w:gridCol w:w="2835"/>
        <w:gridCol w:w="2268"/>
        <w:gridCol w:w="2551"/>
      </w:tblGrid>
      <w:tr>
        <w:trPr>
          <w:trHeight w:val="64" w:hRule="atLeast"/>
        </w:trPr>
        <w:tc>
          <w:tcPr>
            <w:tcW w:w="1980" w:type="dxa"/>
            <w:gridSpan w:val="2"/>
            <w:vMerge w:val="restart"/>
            <w:shd w:val="clear" w:color="auto" w:themeFill="accent5" w:themeFillTint="66" w:themeFillShade="FF"/>
            <w:vAlign w:val="top"/>
          </w:tcPr>
          <w:p>
            <w:pPr>
              <w:pStyle w:val="0"/>
              <w:spacing w:line="220" w:lineRule="exact"/>
              <w:rPr>
                <w:rFonts w:hint="default" w:ascii="ＭＳ ゴシック" w:hAnsi="ＭＳ ゴシック" w:eastAsia="ＭＳ ゴシック"/>
              </w:rPr>
            </w:pPr>
          </w:p>
        </w:tc>
        <w:tc>
          <w:tcPr>
            <w:tcW w:w="7654" w:type="dxa"/>
            <w:gridSpan w:val="3"/>
            <w:shd w:val="clear" w:color="auto" w:themeFill="accent1" w:themeFillTint="FF" w:themeFillShade="FF"/>
            <w:vAlign w:val="center"/>
          </w:tcPr>
          <w:p>
            <w:pPr>
              <w:pStyle w:val="0"/>
              <w:spacing w:line="280" w:lineRule="exact"/>
              <w:jc w:val="center"/>
              <w:rPr>
                <w:rFonts w:hint="default" w:ascii="ＭＳ ゴシック" w:hAnsi="ＭＳ ゴシック" w:eastAsia="ＭＳ ゴシック"/>
                <w:color w:val="FFFFFF" w:themeColor="background1"/>
                <w:sz w:val="22"/>
              </w:rPr>
            </w:pPr>
            <w:r>
              <w:rPr>
                <w:rFonts w:hint="eastAsia" w:ascii="ＭＳ ゴシック" w:hAnsi="ＭＳ ゴシック" w:eastAsia="ＭＳ ゴシック"/>
                <w:color w:val="FFFFFF" w:themeColor="background1"/>
                <w:sz w:val="22"/>
              </w:rPr>
              <w:t>総合事業</w:t>
            </w:r>
          </w:p>
        </w:tc>
      </w:tr>
      <w:tr>
        <w:trPr>
          <w:trHeight w:val="218" w:hRule="atLeast"/>
        </w:trPr>
        <w:tc>
          <w:tcPr>
            <w:tcW w:w="1980" w:type="dxa"/>
            <w:gridSpan w:val="2"/>
            <w:vMerge w:val="continue"/>
            <w:shd w:val="clear" w:color="auto" w:themeFill="accent5" w:themeFillTint="66" w:themeFillShade="FF"/>
            <w:vAlign w:val="top"/>
          </w:tcPr>
          <w:p>
            <w:pPr>
              <w:pStyle w:val="0"/>
              <w:rPr>
                <w:rFonts w:hint="default" w:ascii="ＭＳ ゴシック" w:hAnsi="ＭＳ ゴシック" w:eastAsia="ＭＳ ゴシック"/>
              </w:rPr>
            </w:pPr>
          </w:p>
        </w:tc>
        <w:tc>
          <w:tcPr>
            <w:tcW w:w="2835"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箕面市通所介護相当</w:t>
            </w:r>
          </w:p>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サービス（専門型）</w:t>
            </w:r>
          </w:p>
        </w:tc>
        <w:tc>
          <w:tcPr>
            <w:tcW w:w="2268"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箕面市通所型</w:t>
            </w:r>
          </w:p>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サービスＡ（緩和型）</w:t>
            </w:r>
          </w:p>
        </w:tc>
        <w:tc>
          <w:tcPr>
            <w:tcW w:w="2551" w:type="dxa"/>
            <w:shd w:val="clear" w:color="auto" w:themeFill="accent5" w:themeFillTint="33" w:themeFillShade="FF"/>
            <w:vAlign w:val="center"/>
          </w:tcPr>
          <w:p>
            <w:pPr>
              <w:pStyle w:val="0"/>
              <w:spacing w:line="280" w:lineRule="exact"/>
              <w:jc w:val="center"/>
              <w:rPr>
                <w:rFonts w:hint="default" w:ascii="ＭＳ ゴシック" w:hAnsi="ＭＳ ゴシック" w:eastAsia="ＭＳ ゴシック"/>
                <w:sz w:val="18"/>
              </w:rPr>
            </w:pPr>
            <w:r>
              <w:rPr>
                <w:rFonts w:hint="eastAsia" w:ascii="ＭＳ ゴシック" w:hAnsi="ＭＳ ゴシック" w:eastAsia="ＭＳ ゴシック"/>
                <w:sz w:val="18"/>
              </w:rPr>
              <w:t>箕面市通所型</w:t>
            </w:r>
          </w:p>
          <w:p>
            <w:pPr>
              <w:pStyle w:val="0"/>
              <w:spacing w:line="280" w:lineRule="exact"/>
              <w:ind w:left="0" w:leftChars="-47" w:right="-242" w:rightChars="-101" w:hanging="113" w:hangingChars="63"/>
              <w:jc w:val="center"/>
              <w:rPr>
                <w:rFonts w:hint="default" w:ascii="ＭＳ ゴシック" w:hAnsi="ＭＳ ゴシック" w:eastAsia="ＭＳ ゴシック"/>
                <w:sz w:val="18"/>
              </w:rPr>
            </w:pPr>
            <w:r>
              <w:rPr>
                <w:rFonts w:hint="eastAsia" w:ascii="ＭＳ ゴシック" w:hAnsi="ＭＳ ゴシック" w:eastAsia="ＭＳ ゴシック"/>
                <w:sz w:val="18"/>
              </w:rPr>
              <w:t>サービスＣ（短期集中型）</w:t>
            </w:r>
          </w:p>
        </w:tc>
      </w:tr>
      <w:tr>
        <w:trPr>
          <w:trHeight w:val="470" w:hRule="atLeast"/>
        </w:trPr>
        <w:tc>
          <w:tcPr>
            <w:tcW w:w="39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１</w:t>
            </w:r>
          </w:p>
        </w:tc>
        <w:tc>
          <w:tcPr>
            <w:tcW w:w="158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利用者の状態像</w:t>
            </w:r>
          </w:p>
        </w:tc>
        <w:tc>
          <w:tcPr>
            <w:tcW w:w="7654" w:type="dxa"/>
            <w:gridSpan w:val="3"/>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要支援１・２、事業対象者</w:t>
            </w:r>
          </w:p>
        </w:tc>
      </w:tr>
      <w:tr>
        <w:trPr>
          <w:trHeight w:val="64" w:hRule="atLeast"/>
        </w:trPr>
        <w:tc>
          <w:tcPr>
            <w:tcW w:w="39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２</w:t>
            </w:r>
          </w:p>
        </w:tc>
        <w:tc>
          <w:tcPr>
            <w:tcW w:w="158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サービス内容</w:t>
            </w:r>
          </w:p>
        </w:tc>
        <w:tc>
          <w:tcPr>
            <w:tcW w:w="5103" w:type="dxa"/>
            <w:gridSpan w:val="2"/>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通所介護事業者ごとに作成する</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介護予防のためのプログラム</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利用者ごとに作成する個別機能訓練のためのプログラム</w:t>
            </w:r>
          </w:p>
        </w:tc>
      </w:tr>
      <w:tr>
        <w:trPr>
          <w:trHeight w:val="64" w:hRule="atLeast"/>
        </w:trPr>
        <w:tc>
          <w:tcPr>
            <w:tcW w:w="39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３</w:t>
            </w:r>
          </w:p>
        </w:tc>
        <w:tc>
          <w:tcPr>
            <w:tcW w:w="158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サービス提供者</w:t>
            </w:r>
          </w:p>
        </w:tc>
        <w:tc>
          <w:tcPr>
            <w:tcW w:w="2835"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箕面市通所介護相当</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サービス指定事業者</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箕面市通所型サービスＡ</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指定事業者</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箕面市通所型サービスＣ</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指定事業者</w:t>
            </w:r>
          </w:p>
        </w:tc>
      </w:tr>
      <w:tr>
        <w:trPr>
          <w:trHeight w:val="64" w:hRule="atLeast"/>
        </w:trPr>
        <w:tc>
          <w:tcPr>
            <w:tcW w:w="39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４</w:t>
            </w:r>
          </w:p>
        </w:tc>
        <w:tc>
          <w:tcPr>
            <w:tcW w:w="158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目標期間の設定</w:t>
            </w:r>
          </w:p>
        </w:tc>
        <w:tc>
          <w:tcPr>
            <w:tcW w:w="2835"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設定なし</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（サービス提供期間は無期限）</w:t>
            </w:r>
          </w:p>
        </w:tc>
        <w:tc>
          <w:tcPr>
            <w:tcW w:w="2268"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設定あり（３～６か月）</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ただし、延長可</w:t>
            </w:r>
          </w:p>
        </w:tc>
        <w:tc>
          <w:tcPr>
            <w:tcW w:w="2551" w:type="dxa"/>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設定あり</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（３～６か月）</w:t>
            </w:r>
          </w:p>
        </w:tc>
      </w:tr>
      <w:tr>
        <w:trPr>
          <w:trHeight w:val="360" w:hRule="atLeast"/>
        </w:trPr>
        <w:tc>
          <w:tcPr>
            <w:tcW w:w="396"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５</w:t>
            </w:r>
          </w:p>
        </w:tc>
        <w:tc>
          <w:tcPr>
            <w:tcW w:w="1584" w:type="dxa"/>
            <w:shd w:val="clear" w:color="auto" w:themeFill="accent5" w:themeFillTint="66" w:themeFillShade="FF"/>
            <w:vAlign w:val="center"/>
          </w:tcPr>
          <w:p>
            <w:pPr>
              <w:pStyle w:val="0"/>
              <w:spacing w:line="28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利用者負担</w:t>
            </w:r>
          </w:p>
        </w:tc>
        <w:tc>
          <w:tcPr>
            <w:tcW w:w="7654" w:type="dxa"/>
            <w:gridSpan w:val="3"/>
            <w:vAlign w:val="center"/>
          </w:tcPr>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介護給付の利用者負担額と同じ</w:t>
            </w:r>
          </w:p>
          <w:p>
            <w:pPr>
              <w:pStyle w:val="0"/>
              <w:spacing w:line="280" w:lineRule="exact"/>
              <w:jc w:val="center"/>
              <w:rPr>
                <w:rFonts w:hint="default" w:ascii="ＭＳ 明朝" w:hAnsi="ＭＳ 明朝" w:eastAsia="ＭＳ 明朝"/>
                <w:sz w:val="16"/>
              </w:rPr>
            </w:pPr>
            <w:r>
              <w:rPr>
                <w:rFonts w:hint="eastAsia" w:ascii="ＭＳ 明朝" w:hAnsi="ＭＳ 明朝" w:eastAsia="ＭＳ 明朝"/>
                <w:sz w:val="16"/>
              </w:rPr>
              <w:t>（１割または２割または３割）</w:t>
            </w:r>
          </w:p>
        </w:tc>
      </w:tr>
    </w:tbl>
    <w:p>
      <w:pPr>
        <w:pStyle w:val="4"/>
        <w:ind w:left="0" w:leftChars="0"/>
        <w:jc w:val="both"/>
        <w:rPr>
          <w:rFonts w:hint="default" w:ascii="ＭＳ ゴシック" w:hAnsi="ＭＳ ゴシック" w:eastAsia="ＭＳ ゴシック"/>
          <w:b w:val="0"/>
          <w:sz w:val="28"/>
        </w:rPr>
      </w:pPr>
      <w:bookmarkStart w:id="108" w:name="_Toc59007820"/>
      <w:r>
        <w:rPr>
          <w:rFonts w:hint="eastAsia" w:ascii="ＭＳ ゴシック" w:hAnsi="ＭＳ ゴシック" w:eastAsia="ＭＳ ゴシック"/>
          <w:b w:val="0"/>
          <w:sz w:val="28"/>
        </w:rPr>
        <w:t>（４）生活支援体制整備の推進</w:t>
      </w:r>
      <w:bookmarkEnd w:id="108"/>
    </w:p>
    <w:p>
      <w:pPr>
        <w:pStyle w:val="5"/>
        <w:ind w:left="0" w:leftChars="0" w:firstLine="240" w:firstLineChars="100"/>
        <w:jc w:val="both"/>
        <w:rPr>
          <w:rFonts w:hint="default" w:ascii="ＭＳ ゴシック" w:hAnsi="ＭＳ ゴシック" w:eastAsia="ＭＳ ゴシック"/>
        </w:rPr>
      </w:pPr>
      <w:bookmarkStart w:id="109" w:name="_Toc59007821"/>
      <w:r>
        <w:rPr>
          <w:rFonts w:hint="eastAsia" w:ascii="ＭＳ ゴシック" w:hAnsi="ＭＳ ゴシック" w:eastAsia="ＭＳ ゴシック"/>
        </w:rPr>
        <w:t>ア）生活支援コーディネート機能</w:t>
      </w:r>
      <w:bookmarkEnd w:id="109"/>
    </w:p>
    <w:p>
      <w:pPr>
        <w:pStyle w:val="0"/>
        <w:ind w:left="480" w:leftChars="100" w:hanging="240" w:hangingChars="100"/>
        <w:jc w:val="both"/>
        <w:rPr>
          <w:rFonts w:hint="default"/>
        </w:rPr>
      </w:pPr>
      <w:r>
        <w:rPr>
          <w:rFonts w:hint="eastAsia"/>
        </w:rPr>
        <w:t>○　平成</w:t>
      </w:r>
      <w:r>
        <w:rPr>
          <w:rFonts w:hint="eastAsia"/>
        </w:rPr>
        <w:t>27</w:t>
      </w:r>
      <w:r>
        <w:rPr>
          <w:rFonts w:hint="eastAsia"/>
        </w:rPr>
        <w:t>年</w:t>
      </w:r>
      <w:r>
        <w:rPr>
          <w:rFonts w:hint="eastAsia"/>
        </w:rPr>
        <w:t>(2015</w:t>
      </w:r>
      <w:r>
        <w:rPr>
          <w:rFonts w:hint="eastAsia"/>
        </w:rPr>
        <w:t>年</w:t>
      </w:r>
      <w:r>
        <w:rPr>
          <w:rFonts w:hint="eastAsia"/>
        </w:rPr>
        <w:t>)</w:t>
      </w:r>
      <w:r>
        <w:rPr>
          <w:rFonts w:hint="eastAsia"/>
        </w:rPr>
        <w:t>４月から、高齢者の生活支援・介護予防サービスの提供体制の整備や充実を目的に、</w:t>
      </w:r>
      <w:r>
        <w:rPr>
          <w:rFonts w:hint="eastAsia"/>
          <w:spacing w:val="2"/>
        </w:rPr>
        <w:t>生活支援体制整備事業を実施しています。</w:t>
      </w:r>
    </w:p>
    <w:p>
      <w:pPr>
        <w:pStyle w:val="0"/>
        <w:ind w:left="480" w:leftChars="100" w:hanging="240" w:hangingChars="100"/>
        <w:jc w:val="both"/>
        <w:rPr>
          <w:rFonts w:hint="default"/>
          <w:strike w:val="1"/>
        </w:rPr>
      </w:pPr>
      <w:r>
        <w:rPr>
          <w:rFonts w:hint="eastAsia"/>
        </w:rPr>
        <w:t>○　本市では、市全域レベルを担当する生活支援コーディネーターは、</w:t>
      </w:r>
      <w:r>
        <w:rPr>
          <w:rFonts w:hint="eastAsia"/>
          <w:spacing w:val="2"/>
        </w:rPr>
        <w:t>市の基幹型地域包括支援センター職員が担います。市全域レベルを担当する生活支援コーディネーターは、日常生活圏域レベルを担当する生活支援コーディネーターを支援し、日常生活圏域レベルでの地域課題の取りまとめや解決策の検討について関係機関と連携し、①資源開発、②ネットワーク構築機能などを担います。</w:t>
      </w:r>
    </w:p>
    <w:p>
      <w:pPr>
        <w:pStyle w:val="0"/>
        <w:ind w:left="484" w:leftChars="100" w:hanging="244" w:hangingChars="100"/>
        <w:jc w:val="both"/>
        <w:rPr>
          <w:rFonts w:hint="default"/>
          <w:strike w:val="1"/>
        </w:rPr>
      </w:pPr>
      <w:r>
        <w:rPr>
          <w:rFonts w:hint="eastAsia"/>
          <w:spacing w:val="2"/>
        </w:rPr>
        <w:t>○　日常生活圏域レベルを担当する生活支援コーディネーターは、ささえあいステーション職員（社会福祉協議会）が担います。</w:t>
      </w:r>
      <w:r>
        <w:rPr>
          <w:rFonts w:hint="eastAsia"/>
        </w:rPr>
        <w:t>ささえあいステーション職員は、①資源開発、②ネットワーク構築、③ニーズと取組のマッチングのコーディネート機能などを担います。</w:t>
      </w:r>
    </w:p>
    <w:p>
      <w:pPr>
        <w:pStyle w:val="0"/>
        <w:ind w:left="480" w:leftChars="100" w:hanging="240" w:hangingChars="100"/>
        <w:jc w:val="both"/>
        <w:rPr>
          <w:rFonts w:hint="default"/>
        </w:rPr>
      </w:pPr>
      <w:r>
        <w:rPr>
          <w:rFonts w:hint="eastAsia"/>
        </w:rPr>
        <w:t>○　また、生活支援コーディネーターと生活支援等のサービスの多様な提供主体等が参画して、定期的な情報の共有や連携を強化する場として、協議体を設置します。</w:t>
      </w:r>
    </w:p>
    <w:p>
      <w:pPr>
        <w:pStyle w:val="0"/>
        <w:ind w:left="480" w:leftChars="200" w:firstLine="240" w:firstLineChars="100"/>
        <w:jc w:val="both"/>
        <w:rPr>
          <w:rFonts w:hint="default"/>
        </w:rPr>
      </w:pPr>
      <w:r>
        <w:rPr>
          <w:rFonts w:hint="eastAsia"/>
        </w:rPr>
        <w:t>市全域レベルを担当する第１層</w:t>
      </w:r>
      <w:r>
        <w:rPr>
          <w:rFonts w:hint="eastAsia"/>
          <w:spacing w:val="2"/>
        </w:rPr>
        <w:t>協議体（協議体会議）は、地域包括支援センターや社会福祉協議会、社会福祉法人、事業者などの地域の関係者で構成されます。今後は、既存の生活困窮者自立支援推進協議会等を活用するなど、地域の高齢者の生活を支える上で必要な参画者を徐々に増やしていくことを検討します。</w:t>
      </w:r>
    </w:p>
    <w:p>
      <w:pPr>
        <w:pStyle w:val="0"/>
        <w:ind w:left="480" w:leftChars="200" w:firstLine="244" w:firstLineChars="100"/>
        <w:jc w:val="both"/>
        <w:rPr>
          <w:rFonts w:hint="default"/>
        </w:rPr>
      </w:pPr>
      <w:r>
        <w:rPr>
          <w:rFonts w:hint="eastAsia"/>
          <w:spacing w:val="2"/>
        </w:rPr>
        <w:t>日常生活圏域レベルを担当する第２層協議体（ささえあい推進会議）は、住民主体の地域の支え合い体制構築に向けて、地域課題を住民同士で話し合い、解決への取組を検討する取組会議（随時協議体）についての共有や地域アセスメントの結果を評価します。第２層協議体及び取組会議の推進にあたっては、</w:t>
      </w:r>
      <w:r>
        <w:rPr>
          <w:rFonts w:hint="eastAsia"/>
        </w:rPr>
        <w:t>ささえあいステーション職員が中心となり、関係機関や地域団体が連携・連動して活動できる仕組みを検討します。</w:t>
      </w:r>
    </w:p>
    <w:p>
      <w:pPr>
        <w:pStyle w:val="0"/>
        <w:ind w:left="480" w:hanging="480" w:hangingChars="200"/>
        <w:jc w:val="both"/>
        <w:rPr>
          <w:rFonts w:hint="default"/>
        </w:rPr>
      </w:pPr>
      <w:r>
        <w:rPr>
          <w:rFonts w:hint="eastAsia"/>
        </w:rPr>
        <w:t>　○　平成</w:t>
      </w:r>
      <w:r>
        <w:rPr>
          <w:rFonts w:hint="eastAsia"/>
        </w:rPr>
        <w:t>30</w:t>
      </w:r>
      <w:r>
        <w:rPr>
          <w:rFonts w:hint="eastAsia"/>
        </w:rPr>
        <w:t>年</w:t>
      </w:r>
      <w:r>
        <w:rPr>
          <w:rFonts w:hint="eastAsia"/>
        </w:rPr>
        <w:t>(2018</w:t>
      </w:r>
      <w:r>
        <w:rPr>
          <w:rFonts w:hint="eastAsia"/>
        </w:rPr>
        <w:t>年</w:t>
      </w:r>
      <w:r>
        <w:rPr>
          <w:rFonts w:hint="eastAsia"/>
        </w:rPr>
        <w:t>)10</w:t>
      </w:r>
      <w:r>
        <w:rPr>
          <w:rFonts w:hint="eastAsia"/>
        </w:rPr>
        <w:t>月から実施している「顔の見える総合相談・支援モデル事業」の実証検証を通じて、</w:t>
      </w:r>
      <w:r>
        <w:rPr>
          <w:rFonts w:hint="eastAsia"/>
        </w:rPr>
        <w:t>14</w:t>
      </w:r>
      <w:r>
        <w:rPr>
          <w:rFonts w:hint="eastAsia"/>
        </w:rPr>
        <w:t>全小学校区に１つずつの相談・支援窓口を開設し、全市的な総合相談支援体制を構築することをめざします。</w:t>
      </w:r>
      <w:r>
        <w:rPr>
          <w:rFonts w:hint="eastAsia"/>
          <w:color w:val="000000" w:themeColor="text1"/>
        </w:rPr>
        <w:t>（図表</w:t>
      </w:r>
      <w:r>
        <w:rPr>
          <w:rFonts w:hint="eastAsia"/>
          <w:color w:val="000000" w:themeColor="text1"/>
        </w:rPr>
        <w:t>91</w:t>
      </w:r>
      <w:r>
        <w:rPr>
          <w:rFonts w:hint="eastAsia"/>
          <w:color w:val="000000" w:themeColor="text1"/>
        </w:rPr>
        <w:t>参照）</w:t>
      </w:r>
    </w:p>
    <w:p>
      <w:pPr>
        <w:pStyle w:val="0"/>
        <w:ind w:left="480" w:leftChars="100" w:hanging="240" w:hangingChars="100"/>
        <w:jc w:val="both"/>
        <w:rPr>
          <w:rFonts w:hint="default"/>
          <w:color w:val="000000" w:themeColor="text1"/>
        </w:rPr>
      </w:pPr>
      <w:r>
        <w:rPr>
          <w:rFonts w:hint="eastAsia"/>
        </w:rPr>
        <w:t>○　総合事業の訪問型サービスの担い手を増やすため、身体介護</w:t>
      </w:r>
      <w:r>
        <w:rPr>
          <w:rFonts w:hint="eastAsia"/>
          <w:color w:val="000000" w:themeColor="text1"/>
        </w:rPr>
        <w:t>を必要としないかたの生活援助を行う生活支援サポーター養成研修の受講者に対する補助を継続します。</w:t>
      </w: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0"/>
        <w:jc w:val="both"/>
        <w:rPr>
          <w:rFonts w:hint="default"/>
        </w:rPr>
      </w:pPr>
    </w:p>
    <w:p>
      <w:pPr>
        <w:pStyle w:val="5"/>
        <w:ind w:left="0" w:leftChars="0" w:firstLine="240" w:firstLineChars="100"/>
        <w:jc w:val="both"/>
        <w:rPr>
          <w:rFonts w:hint="default" w:ascii="ＭＳ ゴシック" w:hAnsi="ＭＳ ゴシック" w:eastAsia="ＭＳ ゴシック"/>
        </w:rPr>
      </w:pPr>
      <w:bookmarkStart w:id="110" w:name="_Toc45876027"/>
      <w:bookmarkEnd w:id="110"/>
      <w:bookmarkStart w:id="111" w:name="_Toc59007822"/>
      <w:r>
        <w:rPr>
          <w:rFonts w:hint="eastAsia" w:ascii="ＭＳ ゴシック" w:hAnsi="ＭＳ ゴシック" w:eastAsia="ＭＳ ゴシック"/>
        </w:rPr>
        <w:t>イ）日常生活支援の推進</w:t>
      </w:r>
      <w:bookmarkEnd w:id="111"/>
    </w:p>
    <w:p>
      <w:pPr>
        <w:pStyle w:val="0"/>
        <w:ind w:left="480" w:leftChars="100" w:hanging="240" w:hangingChars="100"/>
        <w:jc w:val="both"/>
        <w:rPr>
          <w:rFonts w:hint="default"/>
          <w:color w:val="000000" w:themeColor="text1"/>
        </w:rPr>
      </w:pPr>
      <w:r>
        <w:rPr>
          <w:rFonts w:hint="eastAsia"/>
          <w:color w:val="000000" w:themeColor="text1"/>
        </w:rPr>
        <w:t>○　現在、本市では、図表</w:t>
      </w:r>
      <w:r>
        <w:rPr>
          <w:rFonts w:hint="eastAsia"/>
          <w:color w:val="000000" w:themeColor="text1"/>
        </w:rPr>
        <w:t>90</w:t>
      </w:r>
      <w:r>
        <w:rPr>
          <w:rFonts w:hint="default"/>
          <w:color w:val="000000" w:themeColor="text1"/>
        </w:rPr>
        <w:t>に示す生活支援サービスを実施しています。また、市のサービス以外にも、社会福祉協議会による家事援助や見守り支援、シルバー人材センターによる家事援助、民生委員・児童委員やボランティア等による見守り支援、民間事業者による家事援助や配食サービスなど、様々な機関により高齢者の日常生活支援が行われています。</w:t>
      </w:r>
    </w:p>
    <w:p>
      <w:pPr>
        <w:pStyle w:val="0"/>
        <w:ind w:left="480" w:leftChars="100" w:hanging="240" w:hangingChars="100"/>
        <w:jc w:val="both"/>
        <w:rPr>
          <w:rFonts w:hint="default"/>
          <w:color w:val="000000" w:themeColor="text1"/>
        </w:rPr>
      </w:pPr>
      <w:r>
        <w:rPr>
          <w:rFonts w:hint="eastAsia"/>
          <w:color w:val="000000" w:themeColor="text1"/>
        </w:rPr>
        <w:t>○　引き続き、市の生活支援サービスについては、多様化する生活課題を抱える高齢者やその家族のニーズをふまえた上で、適切なサービス提供に努めるとともに、民間事業者や地域住民による生活支援サービスとの連携・協働に向けた検討・取組なども併せて進め、日常生活支援をめざします。</w:t>
      </w:r>
    </w:p>
    <w:p>
      <w:pPr>
        <w:pStyle w:val="0"/>
        <w:rPr>
          <w:rFonts w:hint="default"/>
        </w:rPr>
      </w:pPr>
    </w:p>
    <w:p>
      <w:pPr>
        <w:pStyle w:val="0"/>
        <w:ind w:left="450" w:leftChars="100" w:hanging="210" w:hangingChars="100"/>
        <w:jc w:val="center"/>
        <w:rPr>
          <w:rFonts w:hint="default" w:ascii="メイリオ" w:hAnsi="メイリオ" w:eastAsia="メイリオ"/>
          <w:b w:val="1"/>
          <w:sz w:val="28"/>
          <w:u w:val="single" w:color="auto"/>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90</w:t>
      </w:r>
      <w:r>
        <w:rPr>
          <w:rFonts w:hint="default" w:ascii="ＭＳ ゴシック" w:hAnsi="ＭＳ ゴシック" w:eastAsia="ＭＳ ゴシック"/>
          <w:color w:val="000000" w:themeColor="text1"/>
          <w:sz w:val="21"/>
        </w:rPr>
        <w:t>：市で実施している主な生活支援サービス</w:t>
      </w:r>
    </w:p>
    <w:tbl>
      <w:tblPr>
        <w:tblStyle w:val="11"/>
        <w:tblW w:w="9353" w:type="dxa"/>
        <w:tblInd w:w="38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99" w:type="dxa"/>
          <w:right w:w="99" w:type="dxa"/>
        </w:tblCellMar>
        <w:tblLook w:firstRow="0" w:lastRow="0" w:firstColumn="0" w:lastColumn="0" w:noHBand="0" w:noVBand="0" w:val="0000"/>
      </w:tblPr>
      <w:tblGrid>
        <w:gridCol w:w="1723"/>
        <w:gridCol w:w="7630"/>
      </w:tblGrid>
      <w:tr>
        <w:trPr>
          <w:trHeight w:val="368" w:hRule="atLeast"/>
        </w:trPr>
        <w:tc>
          <w:tcPr>
            <w:tcW w:w="1723" w:type="dxa"/>
            <w:tcBorders>
              <w:top w:val="single" w:color="000000" w:themeColor="text1" w:sz="4" w:space="0"/>
              <w:left w:val="single" w:color="000000" w:themeColor="text1" w:sz="4" w:space="0"/>
              <w:bottom w:val="single" w:color="auto" w:sz="4" w:space="0"/>
              <w:right w:val="single" w:color="auto" w:sz="4" w:space="0"/>
              <w:tl2br w:val="none" w:color="auto" w:sz="0" w:space="0"/>
              <w:tr2bl w:val="none" w:color="auto" w:sz="0" w:space="0"/>
            </w:tcBorders>
            <w:shd w:val="clear" w:color="auto" w:themeFill="accent5" w:themeFillTint="66" w:themeFillShade="FF"/>
            <w:vAlign w:val="center"/>
          </w:tcPr>
          <w:p>
            <w:pPr>
              <w:pStyle w:val="0"/>
              <w:snapToGrid w:val="0"/>
              <w:spacing w:line="240" w:lineRule="atLeast"/>
              <w:jc w:val="center"/>
              <w:rPr>
                <w:rFonts w:hint="default" w:ascii="ＭＳ ゴシック" w:hAnsi="ＭＳ ゴシック" w:eastAsia="ＭＳ ゴシック"/>
                <w:sz w:val="21"/>
              </w:rPr>
            </w:pPr>
            <w:r>
              <w:rPr>
                <w:rFonts w:hint="eastAsia" w:ascii="ＭＳ ゴシック" w:hAnsi="ＭＳ ゴシック" w:eastAsia="ＭＳ ゴシック"/>
                <w:sz w:val="21"/>
              </w:rPr>
              <w:t>サービス名</w:t>
            </w:r>
          </w:p>
        </w:tc>
        <w:tc>
          <w:tcPr>
            <w:tcW w:w="7630" w:type="dxa"/>
            <w:tcBorders>
              <w:top w:val="single" w:color="000000" w:themeColor="text1" w:sz="4" w:space="0"/>
              <w:left w:val="single" w:color="auto" w:sz="4" w:space="0"/>
              <w:bottom w:val="single" w:color="auto" w:sz="4" w:space="0"/>
              <w:right w:val="single" w:color="000000" w:themeColor="text1" w:sz="4" w:space="0"/>
              <w:tl2br w:val="none" w:color="auto" w:sz="0" w:space="0"/>
              <w:tr2bl w:val="none" w:color="auto" w:sz="0" w:space="0"/>
            </w:tcBorders>
            <w:shd w:val="clear" w:color="auto" w:themeFill="accent5" w:themeFillTint="66" w:themeFillShade="FF"/>
            <w:vAlign w:val="center"/>
          </w:tcPr>
          <w:p>
            <w:pPr>
              <w:pStyle w:val="0"/>
              <w:snapToGrid w:val="0"/>
              <w:spacing w:line="240" w:lineRule="atLeast"/>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r>
      <w:tr>
        <w:trPr>
          <w:trHeight w:val="365"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紙おむつの給付</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在宅で常時紙おむつを使用している高齢者のうち市民税非課税世帯に属するかたを対象に、紙おむつを給付する。</w:t>
            </w:r>
          </w:p>
        </w:tc>
      </w:tr>
      <w:tr>
        <w:trPr>
          <w:trHeight w:val="817"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緊急通報機器の設置</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ひとり暮らしの高齢者や高齢者のみの世帯のかた等に緊急通報機器を設置する。急病等の緊急事態発生時に、ペンダント式のボタンを押すことにより、警備会社から警備員が急行し必要な対応等を行う。</w:t>
            </w:r>
          </w:p>
        </w:tc>
      </w:tr>
      <w:tr>
        <w:trPr>
          <w:trHeight w:val="566"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位置情報提供</w:t>
            </w:r>
          </w:p>
          <w:p>
            <w:pPr>
              <w:pStyle w:val="0"/>
              <w:snapToGrid w:val="0"/>
              <w:spacing w:line="240" w:lineRule="exact"/>
              <w:rPr>
                <w:rFonts w:hint="default"/>
                <w:sz w:val="21"/>
              </w:rPr>
            </w:pPr>
            <w:r>
              <w:rPr>
                <w:rFonts w:hint="eastAsia"/>
                <w:sz w:val="21"/>
              </w:rPr>
              <w:t>サービス</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認知症を有する高齢者が行方不明になったとき、携帯電話網とＧＰＳを利用したシステムで居場所を確認するサービスの初期費用を助成する。</w:t>
            </w:r>
          </w:p>
        </w:tc>
      </w:tr>
      <w:tr>
        <w:trPr>
          <w:trHeight w:val="1191"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color w:val="000000" w:themeColor="text1"/>
              </w:rPr>
            </w:pPr>
            <w:r>
              <w:rPr>
                <w:rFonts w:hint="eastAsia"/>
                <w:color w:val="000000" w:themeColor="text1"/>
                <w:sz w:val="21"/>
              </w:rPr>
              <w:t>高齢者見守りサービス</w:t>
            </w:r>
            <w:r>
              <w:rPr>
                <w:rFonts w:hint="eastAsia"/>
                <w:color w:val="000000" w:themeColor="text1"/>
              </w:rPr>
              <w:t>o</w:t>
            </w:r>
            <w:r>
              <w:rPr>
                <w:rFonts w:hint="default"/>
                <w:color w:val="000000" w:themeColor="text1"/>
              </w:rPr>
              <w:t>tta</w:t>
            </w:r>
            <w:r>
              <w:rPr>
                <w:rFonts w:hint="eastAsia"/>
                <w:color w:val="000000" w:themeColor="text1"/>
                <w:sz w:val="21"/>
              </w:rPr>
              <w:t>（オッタ）</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color w:val="000000" w:themeColor="text1"/>
              </w:rPr>
            </w:pPr>
            <w:r>
              <w:rPr>
                <w:rFonts w:hint="eastAsia"/>
                <w:color w:val="000000" w:themeColor="text1"/>
                <w:sz w:val="21"/>
              </w:rPr>
              <w:t>見守り端末</w:t>
            </w:r>
            <w:r>
              <w:rPr>
                <w:rFonts w:hint="eastAsia"/>
                <w:color w:val="000000" w:themeColor="text1"/>
              </w:rPr>
              <w:t>o</w:t>
            </w:r>
            <w:r>
              <w:rPr>
                <w:rFonts w:hint="default"/>
                <w:color w:val="000000" w:themeColor="text1"/>
              </w:rPr>
              <w:t>tta</w:t>
            </w:r>
            <w:r>
              <w:rPr>
                <w:rFonts w:hint="eastAsia"/>
                <w:color w:val="000000" w:themeColor="text1"/>
                <w:sz w:val="21"/>
              </w:rPr>
              <w:t>を身につけた認知症のかたなどが、検知ポイントの近くを通ると、位置情報データが記録され、いざというときにその通過履歴を確認できるサービス。認知症のかたの安全確保や家族介護者の負担軽減のため、行方不明になるリスクのあるかたや希望者に、見守り端末</w:t>
            </w:r>
            <w:r>
              <w:rPr>
                <w:rFonts w:hint="eastAsia"/>
                <w:color w:val="000000" w:themeColor="text1"/>
              </w:rPr>
              <w:t>o</w:t>
            </w:r>
            <w:r>
              <w:rPr>
                <w:rFonts w:hint="default"/>
                <w:color w:val="000000" w:themeColor="text1"/>
              </w:rPr>
              <w:t>tta</w:t>
            </w:r>
            <w:r>
              <w:rPr>
                <w:rFonts w:hint="eastAsia"/>
                <w:color w:val="000000" w:themeColor="text1"/>
                <w:sz w:val="21"/>
              </w:rPr>
              <w:t>と自宅用検知器の利用を促進する。</w:t>
            </w:r>
          </w:p>
        </w:tc>
      </w:tr>
      <w:tr>
        <w:trPr>
          <w:trHeight w:val="817"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訪問理容・美容サービス</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ひとり暮らしの高齢者や高齢者のみの世帯のかた等で、外出が困難なために理容・美容サービスを受けることができないかたを対象に、自宅で理容・美容サービスを受けるための出張料を助成する。</w:t>
            </w:r>
          </w:p>
        </w:tc>
      </w:tr>
      <w:tr>
        <w:trPr>
          <w:trHeight w:val="817"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日常生活用具の</w:t>
            </w:r>
          </w:p>
          <w:p>
            <w:pPr>
              <w:pStyle w:val="0"/>
              <w:snapToGrid w:val="0"/>
              <w:spacing w:line="240" w:lineRule="exact"/>
              <w:rPr>
                <w:rFonts w:hint="default"/>
                <w:sz w:val="21"/>
              </w:rPr>
            </w:pPr>
            <w:r>
              <w:rPr>
                <w:rFonts w:hint="eastAsia"/>
                <w:sz w:val="21"/>
              </w:rPr>
              <w:t>給付</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ひとり暮らしの高齢者や高齢者のみの世帯のかた等で、心身機能の低下に伴い防火等の配慮が必要なかたを対象に、所得に応じて、電磁調理器、火災警報器、自動消火器を給付する。</w:t>
            </w:r>
          </w:p>
        </w:tc>
      </w:tr>
      <w:tr>
        <w:trPr>
          <w:trHeight w:val="345"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日常生活用具の</w:t>
            </w:r>
          </w:p>
          <w:p>
            <w:pPr>
              <w:pStyle w:val="0"/>
              <w:snapToGrid w:val="0"/>
              <w:spacing w:line="240" w:lineRule="exact"/>
              <w:rPr>
                <w:rFonts w:hint="default"/>
                <w:sz w:val="21"/>
              </w:rPr>
            </w:pPr>
            <w:r>
              <w:rPr>
                <w:rFonts w:hint="eastAsia"/>
                <w:sz w:val="21"/>
              </w:rPr>
              <w:t>貸与</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家族の病気等の緊急時、病気、けが等で自宅療養するにあたり、介護保険サービスでは対応できない場合に、必要な特殊寝台、歩行器等の短期間の貸与を行う。</w:t>
            </w:r>
          </w:p>
        </w:tc>
      </w:tr>
      <w:tr>
        <w:trPr>
          <w:trHeight w:val="367"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ホームヘルプ</w:t>
            </w:r>
          </w:p>
          <w:p>
            <w:pPr>
              <w:pStyle w:val="0"/>
              <w:snapToGrid w:val="0"/>
              <w:spacing w:line="240" w:lineRule="exact"/>
              <w:rPr>
                <w:rFonts w:hint="default"/>
                <w:sz w:val="21"/>
              </w:rPr>
            </w:pPr>
            <w:r>
              <w:rPr>
                <w:rFonts w:hint="eastAsia"/>
                <w:sz w:val="21"/>
              </w:rPr>
              <w:t>サービス</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家族の病気等の緊急時などに、介護保険サービスでは対応できない場合に、ホームヘルパーが家庭を訪問し、調理、掃除、買い物などの家事または食事や</w:t>
            </w:r>
            <w:r>
              <w:rPr>
                <w:rFonts w:hint="eastAsia"/>
                <w:color w:val="000000" w:themeColor="text1"/>
                <w:sz w:val="21"/>
              </w:rPr>
              <w:t>排泄</w:t>
            </w:r>
            <w:r>
              <w:rPr>
                <w:rFonts w:hint="eastAsia"/>
                <w:sz w:val="21"/>
              </w:rPr>
              <w:t>、通院介助などの介護を提供する。</w:t>
            </w:r>
          </w:p>
        </w:tc>
      </w:tr>
      <w:tr>
        <w:trPr>
          <w:trHeight w:val="389"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ショートステイサービス</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家族の病気等の緊急時などに、介護保険サービスでは対応できない場合に、養護老人ホームや特別養護老人ホームなどへの短期入所を提供する。</w:t>
            </w:r>
          </w:p>
        </w:tc>
      </w:tr>
      <w:tr>
        <w:trPr>
          <w:trHeight w:val="237" w:hRule="atLeast"/>
        </w:trPr>
        <w:tc>
          <w:tcPr>
            <w:tcW w:w="1723" w:type="dxa"/>
            <w:tcBorders>
              <w:top w:val="single" w:color="auto" w:sz="4" w:space="0"/>
              <w:left w:val="single" w:color="000000" w:themeColor="text1" w:sz="4" w:space="0"/>
              <w:bottom w:val="single" w:color="auto" w:sz="4" w:space="0"/>
              <w:right w:val="single" w:color="auto" w:sz="4" w:space="0"/>
              <w:tl2br w:val="none" w:color="auto" w:sz="0" w:space="0"/>
              <w:tr2bl w:val="none" w:color="auto" w:sz="0" w:space="0"/>
            </w:tcBorders>
            <w:vAlign w:val="center"/>
          </w:tcPr>
          <w:p>
            <w:pPr>
              <w:pStyle w:val="0"/>
              <w:snapToGrid w:val="0"/>
              <w:spacing w:line="240" w:lineRule="exact"/>
              <w:rPr>
                <w:rFonts w:hint="default"/>
                <w:sz w:val="21"/>
              </w:rPr>
            </w:pPr>
            <w:r>
              <w:rPr>
                <w:rFonts w:hint="eastAsia"/>
                <w:sz w:val="21"/>
              </w:rPr>
              <w:t>デイサービス</w:t>
            </w:r>
          </w:p>
        </w:tc>
        <w:tc>
          <w:tcPr>
            <w:tcW w:w="7630" w:type="dxa"/>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vAlign w:val="center"/>
          </w:tcPr>
          <w:p>
            <w:pPr>
              <w:pStyle w:val="0"/>
              <w:snapToGrid w:val="0"/>
              <w:spacing w:line="240" w:lineRule="atLeast"/>
              <w:jc w:val="both"/>
              <w:rPr>
                <w:rFonts w:hint="default"/>
                <w:sz w:val="21"/>
              </w:rPr>
            </w:pPr>
            <w:r>
              <w:rPr>
                <w:rFonts w:hint="eastAsia"/>
                <w:sz w:val="21"/>
              </w:rPr>
              <w:t>家族の病気等の緊急時などに、介護保険サービスでは対応できない場合に、デイサービスセンターへの通所により、食事や入浴、機能訓練などを提供する。</w:t>
            </w:r>
          </w:p>
        </w:tc>
      </w:tr>
      <w:tr>
        <w:trPr>
          <w:trHeight w:val="556" w:hRule="atLeast"/>
        </w:trPr>
        <w:tc>
          <w:tcPr>
            <w:tcW w:w="1723" w:type="dxa"/>
            <w:tcBorders>
              <w:top w:val="single" w:color="auto" w:sz="4" w:space="0"/>
              <w:left w:val="single" w:color="000000" w:themeColor="text1" w:sz="4" w:space="0"/>
              <w:bottom w:val="single" w:color="000000" w:themeColor="text1" w:sz="4" w:space="0"/>
              <w:right w:val="single" w:color="auto" w:sz="4" w:space="0"/>
              <w:tl2br w:val="none" w:color="auto" w:sz="0" w:space="0"/>
              <w:tr2bl w:val="none" w:color="auto" w:sz="0" w:space="0"/>
            </w:tcBorders>
            <w:vAlign w:val="center"/>
          </w:tcPr>
          <w:p>
            <w:pPr>
              <w:pStyle w:val="0"/>
              <w:spacing w:line="240" w:lineRule="exact"/>
              <w:rPr>
                <w:rFonts w:hint="default"/>
                <w:color w:val="000000" w:themeColor="text1"/>
              </w:rPr>
            </w:pPr>
            <w:r>
              <w:rPr>
                <w:rFonts w:hint="eastAsia"/>
                <w:color w:val="000000" w:themeColor="text1"/>
                <w:sz w:val="21"/>
              </w:rPr>
              <w:t>救急安心カードの配布</w:t>
            </w:r>
          </w:p>
        </w:tc>
        <w:tc>
          <w:tcPr>
            <w:tcW w:w="7630" w:type="dxa"/>
            <w:tcBorders>
              <w:top w:val="single" w:color="auto" w:sz="4" w:space="0"/>
              <w:left w:val="single" w:color="auto" w:sz="4" w:space="0"/>
              <w:bottom w:val="single" w:color="000000" w:themeColor="text1" w:sz="4" w:space="0"/>
              <w:right w:val="single" w:color="000000" w:themeColor="text1" w:sz="4" w:space="0"/>
              <w:tl2br w:val="none" w:color="auto" w:sz="0" w:space="0"/>
              <w:tr2bl w:val="none" w:color="auto" w:sz="0" w:space="0"/>
            </w:tcBorders>
            <w:vAlign w:val="center"/>
          </w:tcPr>
          <w:p>
            <w:pPr>
              <w:pStyle w:val="0"/>
              <w:spacing w:line="240" w:lineRule="exact"/>
              <w:jc w:val="both"/>
              <w:rPr>
                <w:rFonts w:hint="default"/>
                <w:color w:val="000000" w:themeColor="text1"/>
              </w:rPr>
            </w:pPr>
            <w:r>
              <w:rPr>
                <w:rFonts w:hint="eastAsia"/>
                <w:color w:val="000000" w:themeColor="text1"/>
                <w:sz w:val="21"/>
              </w:rPr>
              <w:t>持病などの医療情報や緊急連絡先を記入するカードを高齢者等に配布し、自宅の冷蔵庫に貼り付けることで、急病などの緊急時対応に役立てる。</w:t>
            </w:r>
          </w:p>
        </w:tc>
      </w:tr>
    </w:tbl>
    <w:p>
      <w:pPr>
        <w:pStyle w:val="0"/>
        <w:rPr>
          <w:rFonts w:hint="default"/>
        </w:rPr>
      </w:pPr>
    </w:p>
    <w:p>
      <w:pPr>
        <w:pStyle w:val="0"/>
        <w:rPr>
          <w:rFonts w:hint="default"/>
        </w:rPr>
      </w:pPr>
    </w:p>
    <w:p>
      <w:pPr>
        <w:pStyle w:val="0"/>
        <w:rPr>
          <w:rFonts w:hint="default"/>
        </w:rPr>
      </w:pPr>
    </w:p>
    <w:p>
      <w:pPr>
        <w:pStyle w:val="5"/>
        <w:ind w:left="0" w:leftChars="0" w:firstLine="240" w:firstLineChars="100"/>
        <w:jc w:val="both"/>
        <w:rPr>
          <w:rFonts w:hint="default" w:ascii="ＭＳ ゴシック" w:hAnsi="ＭＳ ゴシック" w:eastAsia="ＭＳ ゴシック"/>
        </w:rPr>
      </w:pPr>
      <w:bookmarkStart w:id="112" w:name="_Toc59007823"/>
      <w:r>
        <w:rPr>
          <w:rFonts w:hint="eastAsia" w:ascii="ＭＳ ゴシック" w:hAnsi="ＭＳ ゴシック" w:eastAsia="ＭＳ ゴシック"/>
        </w:rPr>
        <w:t>ウ）地域支え合い体制の整備</w:t>
      </w:r>
      <w:bookmarkEnd w:id="112"/>
    </w:p>
    <w:p>
      <w:pPr>
        <w:pStyle w:val="0"/>
        <w:ind w:left="480" w:leftChars="100" w:hanging="240" w:hangingChars="100"/>
        <w:jc w:val="both"/>
        <w:rPr>
          <w:rFonts w:hint="default" w:ascii="Arial" w:hAnsi="Arial" w:eastAsia="ＭＳ ゴシック"/>
        </w:rPr>
      </w:pPr>
      <w:r>
        <w:rPr>
          <w:rFonts w:hint="eastAsia"/>
        </w:rPr>
        <w:t>○　現在、地域における福祉活動として、社会福祉協議会が地区福祉会を通じて進めている小地域ネットワーク活動を始め、民生委員・児童委員、自治会、</w:t>
      </w:r>
      <w:r>
        <w:rPr>
          <w:rFonts w:hint="eastAsia"/>
          <w:color w:val="000000" w:themeColor="text1"/>
        </w:rPr>
        <w:t>シニアク</w:t>
      </w:r>
      <w:r>
        <w:rPr>
          <w:rFonts w:hint="eastAsia"/>
        </w:rPr>
        <w:t>ラブ、ボランティアやＮＰＯなど、多様な主体による活動が行われています。本市では、これらの活動を継続していくための環境づくりを進め、地域で支え合い・助け合いの推進を図ります。</w:t>
      </w:r>
    </w:p>
    <w:p>
      <w:pPr>
        <w:pStyle w:val="0"/>
        <w:ind w:left="480" w:leftChars="100" w:hanging="240" w:hangingChars="100"/>
        <w:jc w:val="both"/>
        <w:rPr>
          <w:rFonts w:hint="default" w:ascii="Arial" w:hAnsi="Arial" w:eastAsia="ＭＳ ゴシック"/>
        </w:rPr>
      </w:pPr>
      <w:r>
        <w:rPr>
          <w:rFonts w:hint="eastAsia"/>
        </w:rPr>
        <w:t>○　「</w:t>
      </w:r>
      <w:r>
        <w:rPr>
          <w:rFonts w:hint="eastAsia"/>
          <w:color w:val="000000" w:themeColor="text1"/>
        </w:rPr>
        <w:t>第２期</w:t>
      </w:r>
      <w:r>
        <w:rPr>
          <w:rFonts w:hint="eastAsia"/>
        </w:rPr>
        <w:t>箕面市地域福祉計画」及び「</w:t>
      </w:r>
      <w:r>
        <w:rPr>
          <w:rFonts w:hint="eastAsia"/>
          <w:color w:val="000000" w:themeColor="text1"/>
        </w:rPr>
        <w:t>第３期</w:t>
      </w:r>
      <w:r>
        <w:rPr>
          <w:rFonts w:hint="eastAsia"/>
        </w:rPr>
        <w:t>地域福祉活動計画」においては、地区福祉会の小地域ネットワーク活動や、民生委員・児童委員、自治会等の地域団体などによる身近な見守り活動を通して、地域で生活課題を抱えるかたを発見し、ささえあいステーションが窓口となって専門機関につなぐとともに、専門機関と連携しながら地域で支援する体制づくりを進めています。これらの計画との整合を図りながら、閉じこもりなどにより必要なサービスを利用できていないかたを早期に発見し、適切な支援につなぐことができるよう、地域包括支援センター職員による相談・訪問活動と、地域の多様な機関による活動との連携を強化し、ささえあいステーション職員及び社会福祉協議会の地区担当職員を中心とした地域のネットワークにおいて、地域全体で高齢者を支援する体制づくりを進めます。</w:t>
      </w:r>
    </w:p>
    <w:p>
      <w:pPr>
        <w:pStyle w:val="0"/>
        <w:ind w:left="480" w:leftChars="100" w:hanging="240" w:hangingChars="100"/>
        <w:jc w:val="both"/>
        <w:rPr>
          <w:rFonts w:hint="default"/>
        </w:rPr>
      </w:pPr>
      <w:r>
        <w:rPr>
          <w:rFonts w:hint="eastAsia"/>
        </w:rPr>
        <w:t>〇　地域における支え合いの体制を整えるためには、互助が必要不可欠であるため、ささえあいステーションが中心となって社会福祉協議会、民生委員・児童委員、自治会等の地域団体とともに、担い手の養成や、担い手と活動の場をつなぐ機能を整えていきま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left="450" w:leftChars="100" w:hanging="210" w:hangingChars="100"/>
        <w:jc w:val="center"/>
        <w:rPr>
          <w:rFonts w:hint="default" w:ascii="メイリオ" w:hAnsi="メイリオ" w:eastAsia="メイリオ"/>
          <w:b w:val="1"/>
          <w:sz w:val="28"/>
          <w:u w:val="single" w:color="auto"/>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91</w:t>
      </w:r>
      <w:r>
        <w:rPr>
          <w:rFonts w:hint="default" w:ascii="ＭＳ ゴシック" w:hAnsi="ＭＳ ゴシック" w:eastAsia="ＭＳ ゴシック"/>
          <w:color w:val="000000" w:themeColor="text1"/>
          <w:sz w:val="21"/>
        </w:rPr>
        <w:t>：</w:t>
      </w:r>
      <w:r>
        <w:rPr>
          <w:rFonts w:hint="eastAsia" w:ascii="ＭＳ ゴシック" w:hAnsi="ＭＳ ゴシック" w:eastAsia="ＭＳ ゴシック"/>
          <w:color w:val="000000" w:themeColor="text1"/>
          <w:sz w:val="21"/>
        </w:rPr>
        <w:t>地域包括支援センターとささえあいステーションのめざす姿</w:t>
      </w:r>
    </w:p>
    <w:p>
      <w:pPr>
        <w:pStyle w:val="0"/>
        <w:ind w:firstLine="240" w:firstLineChars="100"/>
        <w:rPr>
          <w:rFonts w:hint="default"/>
        </w:rPr>
      </w:pPr>
      <w:r>
        <w:rPr>
          <w:rFonts w:hint="eastAsia"/>
        </w:rPr>
        <mc:AlternateContent>
          <mc:Choice Requires="wps">
            <w:drawing>
              <wp:anchor distT="0" distB="0" distL="114300" distR="114300" simplePos="0" relativeHeight="68" behindDoc="0" locked="0" layoutInCell="1" hidden="0" allowOverlap="1">
                <wp:simplePos x="0" y="0"/>
                <wp:positionH relativeFrom="column">
                  <wp:posOffset>-85090</wp:posOffset>
                </wp:positionH>
                <wp:positionV relativeFrom="paragraph">
                  <wp:posOffset>159385</wp:posOffset>
                </wp:positionV>
                <wp:extent cx="6400800" cy="8329295"/>
                <wp:effectExtent l="635" t="635" r="29845" b="10795"/>
                <wp:wrapNone/>
                <wp:docPr id="1288" name="正方形/長方形 5"/>
                <a:graphic xmlns:a="http://schemas.openxmlformats.org/drawingml/2006/main">
                  <a:graphicData uri="http://schemas.microsoft.com/office/word/2010/wordprocessingShape">
                    <wps:wsp>
                      <wps:cNvPr id="1288" name="正方形/長方形 5"/>
                      <wps:cNvSpPr/>
                      <wps:spPr>
                        <a:xfrm>
                          <a:off x="0" y="0"/>
                          <a:ext cx="6400800" cy="83292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 style="mso-wrap-distance-right:9pt;mso-wrap-distance-bottom:0pt;margin-top:12.55pt;mso-position-vertical-relative:text;mso-position-horizontal-relative:text;position:absolute;height:655.85pt;mso-wrap-distance-top:0pt;width:504pt;mso-wrap-distance-left:9pt;margin-left:-6.7pt;z-index:68;" o:spid="_x0000_s1288"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pPr>
        <w:pStyle w:val="0"/>
        <w:ind w:firstLine="240" w:firstLineChars="100"/>
        <w:rPr>
          <w:rFonts w:hint="default"/>
        </w:rPr>
      </w:pPr>
      <w:r>
        <w:rPr>
          <w:rFonts w:hint="eastAsia"/>
        </w:rPr>
        <w:t>５つの地域包括支援センターと９つのささえあいステーションで</w:t>
      </w:r>
      <w:r>
        <w:rPr>
          <w:rFonts w:hint="default"/>
        </w:rPr>
        <w:t>14</w:t>
      </w:r>
      <w:r>
        <w:rPr>
          <w:rFonts w:hint="default"/>
        </w:rPr>
        <w:t>校区すべてに１つずつ相談・支援窓口の開設をめざします。</w:t>
      </w:r>
    </w:p>
    <w:p>
      <w:pPr>
        <w:pStyle w:val="0"/>
        <w:rPr>
          <w:rFonts w:hint="default"/>
          <w:sz w:val="21"/>
        </w:rPr>
      </w:pPr>
      <w:r>
        <w:rPr>
          <w:rFonts w:hint="default"/>
          <w:sz w:val="21"/>
        </w:rPr>
        <w:drawing>
          <wp:anchor distT="0" distB="0" distL="114300" distR="114300" simplePos="0" relativeHeight="206" behindDoc="0" locked="0" layoutInCell="1" hidden="0" allowOverlap="1">
            <wp:simplePos x="0" y="0"/>
            <wp:positionH relativeFrom="column">
              <wp:posOffset>5080</wp:posOffset>
            </wp:positionH>
            <wp:positionV relativeFrom="paragraph">
              <wp:posOffset>121285</wp:posOffset>
            </wp:positionV>
            <wp:extent cx="6188710" cy="1640205"/>
            <wp:effectExtent l="0" t="0" r="0" b="0"/>
            <wp:wrapNone/>
            <wp:docPr id="1289" name="ささえあいステーション.bmp" descr="ダイアグラム&#10;&#10;自動的に生成された説明"/>
            <a:graphic xmlns:a="http://schemas.openxmlformats.org/drawingml/2006/main">
              <a:graphicData uri="http://schemas.openxmlformats.org/drawingml/2006/picture">
                <pic:pic xmlns:pic="http://schemas.openxmlformats.org/drawingml/2006/picture">
                  <pic:nvPicPr>
                    <pic:cNvPr id="1289" name="ささえあいステーション.bmp" descr="ダイアグラム&#10;&#10;自動的に生成された説明"/>
                    <pic:cNvPicPr/>
                  </pic:nvPicPr>
                  <pic:blipFill>
                    <a:blip r:embed="rId100"/>
                    <a:stretch>
                      <a:fillRect/>
                    </a:stretch>
                  </pic:blipFill>
                  <pic:spPr>
                    <a:xfrm>
                      <a:off x="0" y="0"/>
                      <a:ext cx="6188710" cy="1640205"/>
                    </a:xfrm>
                    <a:prstGeom prst="rect">
                      <a:avLst/>
                    </a:prstGeom>
                  </pic:spPr>
                </pic:pic>
              </a:graphicData>
            </a:graphic>
          </wp:anchor>
        </w:drawing>
      </w:r>
    </w:p>
    <w:p>
      <w:pPr>
        <w:pStyle w:val="0"/>
        <w:rPr>
          <w:rFonts w:hint="default"/>
          <w:sz w:val="21"/>
        </w:rPr>
      </w:pPr>
    </w:p>
    <w:p>
      <w:pPr>
        <w:pStyle w:val="0"/>
        <w:rPr>
          <w:rFonts w:hint="default"/>
          <w:sz w:val="21"/>
        </w:rPr>
      </w:pPr>
    </w:p>
    <w:p>
      <w:pPr>
        <w:pStyle w:val="0"/>
        <w:rPr>
          <w:rFonts w:hint="default"/>
          <w:sz w:val="21"/>
        </w:rPr>
      </w:pPr>
    </w:p>
    <w:p>
      <w:pPr>
        <w:pStyle w:val="0"/>
        <w:rPr>
          <w:rFonts w:hint="default"/>
          <w:sz w:val="21"/>
        </w:rPr>
      </w:pPr>
    </w:p>
    <w:p>
      <w:pPr>
        <w:pStyle w:val="0"/>
        <w:rPr>
          <w:rFonts w:hint="default"/>
          <w:sz w:val="21"/>
        </w:rPr>
      </w:pPr>
    </w:p>
    <w:p>
      <w:pPr>
        <w:pStyle w:val="0"/>
        <w:rPr>
          <w:rFonts w:hint="default"/>
          <w:sz w:val="21"/>
        </w:rPr>
      </w:pPr>
    </w:p>
    <w:p>
      <w:pPr>
        <w:pStyle w:val="0"/>
        <w:rPr>
          <w:rFonts w:hint="default"/>
          <w:sz w:val="21"/>
        </w:rPr>
      </w:pPr>
    </w:p>
    <w:p>
      <w:pPr>
        <w:pStyle w:val="0"/>
        <w:spacing w:line="0" w:lineRule="atLeast"/>
        <w:ind w:firstLine="240" w:firstLineChars="100"/>
        <w:rPr>
          <w:rFonts w:hint="default"/>
        </w:rPr>
      </w:pPr>
    </w:p>
    <w:p>
      <w:pPr>
        <w:pStyle w:val="0"/>
        <w:spacing w:line="0" w:lineRule="atLeast"/>
        <w:ind w:firstLine="240" w:firstLineChars="100"/>
        <w:rPr>
          <w:rFonts w:hint="default"/>
        </w:rPr>
      </w:pPr>
      <w:r>
        <w:rPr>
          <w:rFonts w:hint="eastAsia"/>
        </w:rPr>
        <w:t>地域包括支援センターとささえあいステーションに配置される職員全員で、担当する日常生活圏域のすべての生活課題の解決に向け下記の業務を行う。</w:t>
      </w:r>
    </w:p>
    <w:p>
      <w:pPr>
        <w:pStyle w:val="0"/>
        <w:spacing w:line="0" w:lineRule="atLeast"/>
        <w:ind w:left="240" w:leftChars="100"/>
        <w:rPr>
          <w:rFonts w:hint="default"/>
        </w:rPr>
      </w:pPr>
      <w:r>
        <w:rPr>
          <w:rFonts w:hint="eastAsia"/>
        </w:rPr>
        <w:t>■</w:t>
      </w:r>
      <w:r>
        <w:rPr>
          <w:rFonts w:hint="eastAsia"/>
          <w:spacing w:val="60"/>
          <w:kern w:val="0"/>
          <w:fitText w:val="960" w:id="15"/>
        </w:rPr>
        <w:t>対象</w:t>
      </w:r>
      <w:r>
        <w:rPr>
          <w:rFonts w:hint="eastAsia"/>
          <w:kern w:val="0"/>
          <w:fitText w:val="960" w:id="15"/>
        </w:rPr>
        <w:t>者</w:t>
      </w:r>
      <w:r>
        <w:rPr>
          <w:rFonts w:hint="eastAsia"/>
        </w:rPr>
        <w:t>　すべての市民</w:t>
      </w:r>
    </w:p>
    <w:p>
      <w:pPr>
        <w:pStyle w:val="0"/>
        <w:spacing w:line="0" w:lineRule="atLeast"/>
        <w:ind w:firstLine="240" w:firstLineChars="100"/>
        <w:rPr>
          <w:rFonts w:hint="default"/>
        </w:rPr>
      </w:pPr>
      <w:r>
        <w:rPr>
          <w:rFonts w:hint="eastAsia"/>
        </w:rPr>
        <w:t>■業務範囲　日常生活に係るすべての課題の解決</w:t>
      </w:r>
    </w:p>
    <w:p>
      <w:pPr>
        <w:pStyle w:val="0"/>
        <w:spacing w:line="0" w:lineRule="atLeast"/>
        <w:ind w:firstLine="1440" w:firstLineChars="600"/>
        <w:rPr>
          <w:rFonts w:hint="default"/>
        </w:rPr>
      </w:pPr>
      <w:r>
        <w:rPr>
          <w:rFonts w:hint="eastAsia"/>
        </w:rPr>
        <w:t xml:space="preserve"> </w:t>
      </w:r>
      <w:r>
        <w:rPr>
          <w:rFonts w:hint="eastAsia"/>
        </w:rPr>
        <w:t>　</w:t>
      </w:r>
      <w:r>
        <w:rPr>
          <w:rFonts w:hint="eastAsia"/>
        </w:rPr>
        <w:t>(</w:t>
      </w:r>
      <w:r>
        <w:rPr>
          <w:rFonts w:hint="eastAsia"/>
        </w:rPr>
        <w:t>社会的孤立、経済的困窮、介護・疾病、就労など、すべての生活課題</w:t>
      </w:r>
      <w:r>
        <w:rPr>
          <w:rFonts w:hint="eastAsia"/>
        </w:rPr>
        <w:t>)</w:t>
      </w:r>
    </w:p>
    <w:p>
      <w:pPr>
        <w:pStyle w:val="0"/>
        <w:spacing w:line="0" w:lineRule="atLeast"/>
        <w:ind w:firstLine="240" w:firstLineChars="100"/>
        <w:rPr>
          <w:rFonts w:hint="default"/>
        </w:rPr>
      </w:pPr>
      <w:r>
        <w:rPr>
          <w:rFonts w:hint="eastAsia"/>
        </w:rPr>
        <w:t>■</w:t>
      </w:r>
      <w:r>
        <w:rPr>
          <w:rFonts w:hint="eastAsia"/>
          <w:spacing w:val="60"/>
          <w:kern w:val="0"/>
          <w:fitText w:val="960" w:id="16"/>
        </w:rPr>
        <w:t>運営</w:t>
      </w:r>
      <w:r>
        <w:rPr>
          <w:rFonts w:hint="eastAsia"/>
          <w:kern w:val="0"/>
          <w:fitText w:val="960" w:id="16"/>
        </w:rPr>
        <w:t>者</w:t>
      </w:r>
      <w:r>
        <w:rPr>
          <w:rFonts w:hint="eastAsia"/>
        </w:rPr>
        <w:t>　＊地域包括支援センター　：市直営１センター、その他４センターは委託</w:t>
      </w:r>
    </w:p>
    <w:p>
      <w:pPr>
        <w:pStyle w:val="0"/>
        <w:spacing w:line="0" w:lineRule="atLeast"/>
        <w:ind w:firstLine="1680" w:firstLineChars="700"/>
        <w:rPr>
          <w:rFonts w:hint="default"/>
        </w:rPr>
      </w:pPr>
      <w:r>
        <w:rPr>
          <w:rFonts w:hint="eastAsia"/>
        </w:rPr>
        <w:t>＊ささえあいステーション：社協がすべて運営</w:t>
      </w:r>
    </w:p>
    <w:tbl>
      <w:tblPr>
        <w:tblStyle w:val="11"/>
        <w:tblpPr w:leftFromText="0" w:rightFromText="0" w:topFromText="0" w:bottomFromText="0" w:vertAnchor="text" w:horzAnchor="margin" w:tblpX="389" w:tblpY="284"/>
        <w:tblOverlap w:val="never"/>
        <w:tblW w:w="895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99" w:type="dxa"/>
          <w:right w:w="99" w:type="dxa"/>
        </w:tblCellMar>
        <w:tblLook w:firstRow="0" w:lastRow="0" w:firstColumn="0" w:lastColumn="0" w:noHBand="0" w:noVBand="0" w:val="0000"/>
      </w:tblPr>
      <w:tblGrid>
        <w:gridCol w:w="2835"/>
        <w:gridCol w:w="6121"/>
      </w:tblGrid>
      <w:tr>
        <w:trPr>
          <w:trHeight w:val="157" w:hRule="atLeast"/>
        </w:trPr>
        <w:tc>
          <w:tcPr>
            <w:tcW w:w="2835" w:type="dxa"/>
            <w:tcBorders>
              <w:top w:val="none" w:color="auto" w:sz="0" w:space="0"/>
              <w:left w:val="none" w:color="auto" w:sz="0" w:space="0"/>
              <w:bottom w:val="single" w:color="auto" w:sz="6" w:space="0"/>
              <w:right w:val="single" w:color="auto" w:sz="4" w:space="0"/>
              <w:tl2br w:val="none" w:color="auto" w:sz="0" w:space="0"/>
              <w:tr2bl w:val="none" w:color="auto" w:sz="0" w:space="0"/>
            </w:tcBorders>
            <w:shd w:val="clear" w:color="auto" w:themeFill="accent5" w:themeFillTint="66" w:themeFillShade="FF"/>
            <w:vAlign w:val="center"/>
          </w:tcPr>
          <w:p>
            <w:pPr>
              <w:pStyle w:val="0"/>
              <w:snapToGrid w:val="0"/>
              <w:jc w:val="center"/>
              <w:rPr>
                <w:rFonts w:hint="default"/>
                <w:sz w:val="21"/>
              </w:rPr>
            </w:pPr>
            <w:r>
              <w:rPr>
                <w:rFonts w:hint="eastAsia"/>
                <w:sz w:val="21"/>
              </w:rPr>
              <w:t>分野</w:t>
            </w:r>
          </w:p>
        </w:tc>
        <w:tc>
          <w:tcPr>
            <w:tcW w:w="6121" w:type="dxa"/>
            <w:tcBorders>
              <w:top w:val="none" w:color="auto" w:sz="0"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66" w:themeFillShade="FF"/>
            <w:vAlign w:val="center"/>
          </w:tcPr>
          <w:p>
            <w:pPr>
              <w:pStyle w:val="0"/>
              <w:snapToGrid w:val="0"/>
              <w:jc w:val="center"/>
              <w:rPr>
                <w:rFonts w:hint="default"/>
                <w:sz w:val="21"/>
              </w:rPr>
            </w:pPr>
            <w:r>
              <w:rPr>
                <w:rFonts w:hint="eastAsia"/>
                <w:sz w:val="21"/>
              </w:rPr>
              <w:t>業務内容</w:t>
            </w:r>
          </w:p>
        </w:tc>
      </w:tr>
      <w:tr>
        <w:trPr>
          <w:trHeight w:val="55" w:hRule="atLeast"/>
        </w:trPr>
        <w:tc>
          <w:tcPr>
            <w:tcW w:w="2835" w:type="dxa"/>
            <w:tcBorders>
              <w:top w:val="single" w:color="auto" w:sz="6" w:space="0"/>
              <w:left w:val="none" w:color="auto" w:sz="0" w:space="0"/>
              <w:bottom w:val="single" w:color="auto" w:sz="6" w:space="0"/>
              <w:right w:val="single" w:color="auto" w:sz="4" w:space="0"/>
              <w:tl2br w:val="none" w:color="auto" w:sz="0" w:space="0"/>
              <w:tr2bl w:val="none" w:color="auto" w:sz="0" w:space="0"/>
            </w:tcBorders>
            <w:vAlign w:val="center"/>
          </w:tcPr>
          <w:p>
            <w:pPr>
              <w:pStyle w:val="0"/>
              <w:snapToGrid w:val="0"/>
              <w:jc w:val="center"/>
              <w:rPr>
                <w:rFonts w:hint="default"/>
                <w:sz w:val="21"/>
              </w:rPr>
            </w:pPr>
            <w:r>
              <w:rPr>
                <w:rFonts w:hint="eastAsia"/>
                <w:sz w:val="21"/>
              </w:rPr>
              <w:t>全</w:t>
            </w:r>
          </w:p>
        </w:tc>
        <w:tc>
          <w:tcPr>
            <w:tcW w:w="6121" w:type="dxa"/>
            <w:tcBorders>
              <w:top w:val="single" w:color="auto" w:sz="6" w:space="0"/>
              <w:left w:val="single" w:color="auto" w:sz="4" w:space="0"/>
              <w:bottom w:val="single" w:color="auto" w:sz="6" w:space="0"/>
              <w:right w:val="none" w:color="auto" w:sz="0" w:space="0"/>
              <w:tl2br w:val="none" w:color="auto" w:sz="0" w:space="0"/>
              <w:tr2bl w:val="none" w:color="auto" w:sz="0" w:space="0"/>
            </w:tcBorders>
            <w:vAlign w:val="center"/>
          </w:tcPr>
          <w:p>
            <w:pPr>
              <w:pStyle w:val="0"/>
              <w:snapToGrid w:val="0"/>
              <w:jc w:val="both"/>
              <w:rPr>
                <w:rFonts w:hint="default"/>
                <w:sz w:val="21"/>
              </w:rPr>
            </w:pPr>
            <w:r>
              <w:rPr>
                <w:rFonts w:hint="eastAsia"/>
                <w:sz w:val="21"/>
              </w:rPr>
              <w:t>・総合相談</w:t>
            </w:r>
          </w:p>
        </w:tc>
      </w:tr>
      <w:tr>
        <w:trPr>
          <w:trHeight w:val="365" w:hRule="atLeast"/>
        </w:trPr>
        <w:tc>
          <w:tcPr>
            <w:tcW w:w="2835" w:type="dxa"/>
            <w:tcBorders>
              <w:top w:val="single" w:color="auto" w:sz="6" w:space="0"/>
              <w:left w:val="none" w:color="auto" w:sz="0" w:space="0"/>
              <w:bottom w:val="single" w:color="auto" w:sz="6" w:space="0"/>
              <w:right w:val="single" w:color="auto" w:sz="4" w:space="0"/>
              <w:tl2br w:val="none" w:color="auto" w:sz="0" w:space="0"/>
              <w:tr2bl w:val="none" w:color="auto" w:sz="0" w:space="0"/>
            </w:tcBorders>
            <w:vAlign w:val="center"/>
          </w:tcPr>
          <w:p>
            <w:pPr>
              <w:pStyle w:val="0"/>
              <w:snapToGrid w:val="0"/>
              <w:jc w:val="center"/>
              <w:rPr>
                <w:rFonts w:hint="default"/>
                <w:sz w:val="21"/>
              </w:rPr>
            </w:pPr>
            <w:r>
              <w:rPr>
                <w:rFonts w:hint="eastAsia"/>
                <w:sz w:val="21"/>
              </w:rPr>
              <w:t>地域福祉推進機能</w:t>
            </w:r>
          </w:p>
        </w:tc>
        <w:tc>
          <w:tcPr>
            <w:tcW w:w="6121" w:type="dxa"/>
            <w:tcBorders>
              <w:top w:val="single" w:color="auto" w:sz="6" w:space="0"/>
              <w:left w:val="single" w:color="auto" w:sz="4" w:space="0"/>
              <w:bottom w:val="single" w:color="auto" w:sz="6" w:space="0"/>
              <w:right w:val="none" w:color="auto" w:sz="0" w:space="0"/>
              <w:tl2br w:val="none" w:color="auto" w:sz="0" w:space="0"/>
              <w:tr2bl w:val="none" w:color="auto" w:sz="0" w:space="0"/>
            </w:tcBorders>
            <w:vAlign w:val="center"/>
          </w:tcPr>
          <w:p>
            <w:pPr>
              <w:pStyle w:val="0"/>
              <w:jc w:val="both"/>
              <w:rPr>
                <w:rFonts w:hint="default"/>
                <w:sz w:val="21"/>
              </w:rPr>
            </w:pPr>
            <w:r>
              <w:rPr>
                <w:rFonts w:hint="eastAsia"/>
                <w:sz w:val="21"/>
              </w:rPr>
              <w:t>・地区福祉会活動との連携・協働・支援</w:t>
            </w:r>
          </w:p>
          <w:p>
            <w:pPr>
              <w:pStyle w:val="0"/>
              <w:jc w:val="both"/>
              <w:rPr>
                <w:rFonts w:hint="default"/>
                <w:sz w:val="21"/>
              </w:rPr>
            </w:pPr>
            <w:r>
              <w:rPr>
                <w:rFonts w:hint="eastAsia"/>
                <w:sz w:val="21"/>
              </w:rPr>
              <w:t>・自治会・マンション管理組合等の連携</w:t>
            </w:r>
          </w:p>
          <w:p>
            <w:pPr>
              <w:pStyle w:val="0"/>
              <w:ind w:left="210" w:hanging="210" w:hangingChars="100"/>
              <w:jc w:val="both"/>
              <w:rPr>
                <w:rFonts w:hint="default"/>
                <w:sz w:val="21"/>
              </w:rPr>
            </w:pPr>
            <w:r>
              <w:rPr>
                <w:rFonts w:hint="eastAsia"/>
                <w:sz w:val="21"/>
              </w:rPr>
              <w:t>・高齢者、妊産婦、閉じこもりのかた等の居場所づくりと運営</w:t>
            </w:r>
          </w:p>
          <w:p>
            <w:pPr>
              <w:pStyle w:val="0"/>
              <w:ind w:left="210" w:hanging="210" w:hangingChars="100"/>
              <w:jc w:val="both"/>
              <w:rPr>
                <w:rFonts w:hint="default"/>
                <w:sz w:val="21"/>
              </w:rPr>
            </w:pPr>
            <w:r>
              <w:rPr>
                <w:rFonts w:hint="eastAsia"/>
                <w:sz w:val="21"/>
              </w:rPr>
              <w:t>（直接・間接）</w:t>
            </w:r>
          </w:p>
          <w:p>
            <w:pPr>
              <w:pStyle w:val="0"/>
              <w:ind w:left="210" w:hanging="210" w:hangingChars="100"/>
              <w:jc w:val="both"/>
              <w:rPr>
                <w:rFonts w:hint="default"/>
                <w:sz w:val="21"/>
              </w:rPr>
            </w:pPr>
            <w:r>
              <w:rPr>
                <w:rFonts w:hint="eastAsia"/>
                <w:sz w:val="21"/>
              </w:rPr>
              <w:t>・「支え手」の活動フィールドの構築と「支えられるかた」のマッチング</w:t>
            </w:r>
          </w:p>
          <w:p>
            <w:pPr>
              <w:pStyle w:val="0"/>
              <w:snapToGrid w:val="0"/>
              <w:ind w:left="210" w:hanging="210" w:hangingChars="100"/>
              <w:jc w:val="both"/>
              <w:rPr>
                <w:rFonts w:hint="default"/>
                <w:sz w:val="21"/>
              </w:rPr>
            </w:pPr>
            <w:r>
              <w:rPr>
                <w:rFonts w:hint="eastAsia"/>
                <w:sz w:val="21"/>
              </w:rPr>
              <w:t>・地域団体、病院・診療所、福祉・介護サービス事業者、学校、幼稚園、保育所、民生委員等による協議会の開催</w:t>
            </w:r>
          </w:p>
        </w:tc>
      </w:tr>
      <w:tr>
        <w:trPr>
          <w:trHeight w:val="365" w:hRule="atLeast"/>
        </w:trPr>
        <w:tc>
          <w:tcPr>
            <w:tcW w:w="2835" w:type="dxa"/>
            <w:tcBorders>
              <w:top w:val="single" w:color="auto" w:sz="6" w:space="0"/>
              <w:left w:val="none" w:color="auto" w:sz="0" w:space="0"/>
              <w:bottom w:val="single" w:color="auto" w:sz="6" w:space="0"/>
              <w:right w:val="single" w:color="auto" w:sz="4" w:space="0"/>
              <w:tl2br w:val="none" w:color="auto" w:sz="0" w:space="0"/>
              <w:tr2bl w:val="none" w:color="auto" w:sz="0" w:space="0"/>
            </w:tcBorders>
            <w:vAlign w:val="center"/>
          </w:tcPr>
          <w:p>
            <w:pPr>
              <w:pStyle w:val="0"/>
              <w:snapToGrid w:val="0"/>
              <w:jc w:val="center"/>
              <w:rPr>
                <w:rFonts w:hint="default"/>
                <w:sz w:val="21"/>
              </w:rPr>
            </w:pPr>
            <w:r>
              <w:rPr>
                <w:rFonts w:hint="eastAsia"/>
                <w:sz w:val="21"/>
              </w:rPr>
              <w:t>地域包括支援センター機能</w:t>
            </w:r>
          </w:p>
        </w:tc>
        <w:tc>
          <w:tcPr>
            <w:tcW w:w="6121" w:type="dxa"/>
            <w:tcBorders>
              <w:top w:val="single" w:color="auto" w:sz="6" w:space="0"/>
              <w:left w:val="single" w:color="auto" w:sz="4" w:space="0"/>
              <w:bottom w:val="single" w:color="auto" w:sz="6" w:space="0"/>
              <w:right w:val="none" w:color="auto" w:sz="0" w:space="0"/>
              <w:tl2br w:val="none" w:color="auto" w:sz="0" w:space="0"/>
              <w:tr2bl w:val="none" w:color="auto" w:sz="0" w:space="0"/>
            </w:tcBorders>
            <w:vAlign w:val="center"/>
          </w:tcPr>
          <w:p>
            <w:pPr>
              <w:pStyle w:val="0"/>
              <w:jc w:val="both"/>
              <w:rPr>
                <w:rFonts w:hint="default"/>
                <w:sz w:val="21"/>
              </w:rPr>
            </w:pPr>
            <w:r>
              <w:rPr>
                <w:rFonts w:hint="eastAsia"/>
                <w:sz w:val="21"/>
              </w:rPr>
              <w:t>・虚弱・軽度認知症高齢者の把握・支援</w:t>
            </w:r>
          </w:p>
          <w:p>
            <w:pPr>
              <w:pStyle w:val="0"/>
              <w:jc w:val="both"/>
              <w:rPr>
                <w:rFonts w:hint="default"/>
                <w:sz w:val="21"/>
              </w:rPr>
            </w:pPr>
            <w:r>
              <w:rPr>
                <w:rFonts w:hint="eastAsia"/>
                <w:sz w:val="21"/>
              </w:rPr>
              <w:t>・介護予防プランの作成</w:t>
            </w:r>
          </w:p>
          <w:p>
            <w:pPr>
              <w:pStyle w:val="0"/>
              <w:jc w:val="both"/>
              <w:rPr>
                <w:rFonts w:hint="default"/>
                <w:sz w:val="21"/>
              </w:rPr>
            </w:pPr>
            <w:r>
              <w:rPr>
                <w:rFonts w:hint="eastAsia"/>
                <w:sz w:val="21"/>
              </w:rPr>
              <w:t>・高齢者虐待への対応</w:t>
            </w:r>
          </w:p>
          <w:p>
            <w:pPr>
              <w:pStyle w:val="0"/>
              <w:jc w:val="both"/>
              <w:rPr>
                <w:rFonts w:hint="default"/>
                <w:sz w:val="21"/>
              </w:rPr>
            </w:pPr>
            <w:r>
              <w:rPr>
                <w:rFonts w:hint="eastAsia"/>
                <w:sz w:val="21"/>
              </w:rPr>
              <w:t>・介護サービス事業所との連携</w:t>
            </w:r>
          </w:p>
          <w:p>
            <w:pPr>
              <w:pStyle w:val="0"/>
              <w:snapToGrid w:val="0"/>
              <w:jc w:val="both"/>
              <w:rPr>
                <w:rFonts w:hint="default"/>
                <w:sz w:val="21"/>
              </w:rPr>
            </w:pPr>
            <w:r>
              <w:rPr>
                <w:rFonts w:hint="eastAsia"/>
                <w:sz w:val="21"/>
              </w:rPr>
              <w:t>・医療機関との連携</w:t>
            </w:r>
          </w:p>
        </w:tc>
      </w:tr>
      <w:tr>
        <w:trPr>
          <w:trHeight w:val="55" w:hRule="atLeast"/>
        </w:trPr>
        <w:tc>
          <w:tcPr>
            <w:tcW w:w="2835" w:type="dxa"/>
            <w:tcBorders>
              <w:top w:val="single" w:color="auto" w:sz="6" w:space="0"/>
              <w:left w:val="none" w:color="auto" w:sz="0" w:space="0"/>
              <w:bottom w:val="single" w:color="auto" w:sz="6" w:space="0"/>
              <w:right w:val="single" w:color="auto" w:sz="4" w:space="0"/>
              <w:tl2br w:val="none" w:color="auto" w:sz="0" w:space="0"/>
              <w:tr2bl w:val="none" w:color="auto" w:sz="0" w:space="0"/>
            </w:tcBorders>
            <w:vAlign w:val="center"/>
          </w:tcPr>
          <w:p>
            <w:pPr>
              <w:pStyle w:val="0"/>
              <w:snapToGrid w:val="0"/>
              <w:jc w:val="center"/>
              <w:rPr>
                <w:rFonts w:hint="default"/>
                <w:sz w:val="21"/>
              </w:rPr>
            </w:pPr>
            <w:r>
              <w:rPr>
                <w:rFonts w:hint="eastAsia"/>
                <w:sz w:val="21"/>
              </w:rPr>
              <w:t>生活困窮者自立支援機能</w:t>
            </w:r>
          </w:p>
        </w:tc>
        <w:tc>
          <w:tcPr>
            <w:tcW w:w="6121" w:type="dxa"/>
            <w:tcBorders>
              <w:top w:val="single" w:color="auto" w:sz="6" w:space="0"/>
              <w:left w:val="single" w:color="auto" w:sz="4" w:space="0"/>
              <w:bottom w:val="single" w:color="auto" w:sz="6" w:space="0"/>
              <w:right w:val="none" w:color="auto" w:sz="0" w:space="0"/>
              <w:tl2br w:val="none" w:color="auto" w:sz="0" w:space="0"/>
              <w:tr2bl w:val="none" w:color="auto" w:sz="0" w:space="0"/>
            </w:tcBorders>
            <w:vAlign w:val="center"/>
          </w:tcPr>
          <w:p>
            <w:pPr>
              <w:pStyle w:val="0"/>
              <w:snapToGrid w:val="0"/>
              <w:jc w:val="both"/>
              <w:rPr>
                <w:rFonts w:hint="default"/>
                <w:sz w:val="21"/>
              </w:rPr>
            </w:pPr>
            <w:r>
              <w:rPr>
                <w:rFonts w:hint="eastAsia"/>
                <w:sz w:val="21"/>
              </w:rPr>
              <w:t>・生活困窮者自立支援業務</w:t>
            </w:r>
          </w:p>
          <w:p>
            <w:pPr>
              <w:pStyle w:val="0"/>
              <w:snapToGrid w:val="0"/>
              <w:jc w:val="both"/>
              <w:rPr>
                <w:rFonts w:hint="default"/>
                <w:sz w:val="21"/>
              </w:rPr>
            </w:pPr>
            <w:r>
              <w:rPr>
                <w:rFonts w:hint="eastAsia"/>
                <w:sz w:val="21"/>
              </w:rPr>
              <w:t>（生活困窮者の発見、把握、アウトリーチ）</w:t>
            </w:r>
          </w:p>
        </w:tc>
      </w:tr>
      <w:tr>
        <w:trPr>
          <w:trHeight w:val="59" w:hRule="atLeast"/>
        </w:trPr>
        <w:tc>
          <w:tcPr>
            <w:tcW w:w="2835" w:type="dxa"/>
            <w:tcBorders>
              <w:top w:val="single" w:color="auto" w:sz="6" w:space="0"/>
              <w:left w:val="none" w:color="auto" w:sz="0"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sz w:val="21"/>
              </w:rPr>
            </w:pPr>
            <w:r>
              <w:rPr>
                <w:rFonts w:hint="eastAsia"/>
                <w:sz w:val="21"/>
              </w:rPr>
              <w:t>日常生活自立支援機能</w:t>
            </w:r>
          </w:p>
        </w:tc>
        <w:tc>
          <w:tcPr>
            <w:tcW w:w="6121" w:type="dxa"/>
            <w:tcBorders>
              <w:top w:val="single" w:color="auto" w:sz="6" w:space="0"/>
              <w:left w:val="single" w:color="auto" w:sz="4" w:space="0"/>
              <w:bottom w:val="single" w:color="auto" w:sz="4" w:space="0"/>
              <w:right w:val="none" w:color="auto" w:sz="0" w:space="0"/>
              <w:tl2br w:val="none" w:color="auto" w:sz="0" w:space="0"/>
              <w:tr2bl w:val="none" w:color="auto" w:sz="0" w:space="0"/>
            </w:tcBorders>
            <w:vAlign w:val="center"/>
          </w:tcPr>
          <w:p>
            <w:pPr>
              <w:pStyle w:val="0"/>
              <w:snapToGrid w:val="0"/>
              <w:jc w:val="both"/>
              <w:rPr>
                <w:rFonts w:hint="default"/>
                <w:sz w:val="21"/>
              </w:rPr>
            </w:pPr>
            <w:r>
              <w:rPr>
                <w:rFonts w:hint="eastAsia"/>
                <w:sz w:val="21"/>
              </w:rPr>
              <w:t>・金銭管理、契約行為等の支援等</w:t>
            </w:r>
          </w:p>
        </w:tc>
      </w:tr>
    </w:tbl>
    <w:p>
      <w:pPr>
        <w:pStyle w:val="0"/>
        <w:spacing w:line="0" w:lineRule="atLeast"/>
        <w:ind w:firstLine="1680" w:firstLineChars="70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4"/>
        <w:ind w:left="0" w:leftChars="0"/>
        <w:rPr>
          <w:rFonts w:hint="default"/>
          <w:color w:val="000000" w:themeColor="text1"/>
          <w:sz w:val="21"/>
        </w:rPr>
      </w:pPr>
      <w:bookmarkStart w:id="113" w:name="_Toc59007824"/>
      <w:r>
        <w:rPr>
          <w:rFonts w:hint="eastAsia" w:ascii="ＭＳ ゴシック" w:hAnsi="ＭＳ ゴシック" w:eastAsia="ＭＳ ゴシック"/>
          <w:b w:val="0"/>
          <w:sz w:val="28"/>
        </w:rPr>
        <w:t>（５）在宅医療と介護の連携強化</w:t>
      </w:r>
      <w:bookmarkEnd w:id="113"/>
    </w:p>
    <w:p>
      <w:pPr>
        <w:pStyle w:val="5"/>
        <w:ind w:left="0" w:leftChars="0" w:firstLine="240" w:firstLineChars="100"/>
        <w:jc w:val="both"/>
        <w:rPr>
          <w:rFonts w:hint="default" w:ascii="ＭＳ ゴシック" w:hAnsi="ＭＳ ゴシック" w:eastAsia="ＭＳ ゴシック"/>
        </w:rPr>
      </w:pPr>
      <w:bookmarkStart w:id="114" w:name="_Toc59007825"/>
      <w:r>
        <w:rPr>
          <w:rFonts w:hint="eastAsia" w:ascii="ＭＳ ゴシック" w:hAnsi="ＭＳ ゴシック" w:eastAsia="ＭＳ ゴシック"/>
        </w:rPr>
        <w:t>ア）在宅医療・介護連携推進事業の推進</w:t>
      </w:r>
      <w:bookmarkEnd w:id="114"/>
    </w:p>
    <w:p>
      <w:pPr>
        <w:pStyle w:val="0"/>
        <w:ind w:left="480" w:leftChars="100" w:hanging="240" w:hangingChars="100"/>
        <w:jc w:val="both"/>
        <w:rPr>
          <w:rFonts w:hint="default"/>
          <w:color w:val="000000" w:themeColor="text1"/>
        </w:rPr>
      </w:pPr>
      <w:r>
        <w:rPr>
          <w:rFonts w:hint="eastAsia"/>
          <w:color w:val="000000" w:themeColor="text1"/>
        </w:rPr>
        <w:t>○　平成</w:t>
      </w:r>
      <w:r>
        <w:rPr>
          <w:rFonts w:hint="eastAsia"/>
          <w:color w:val="000000" w:themeColor="text1"/>
        </w:rPr>
        <w:t>27</w:t>
      </w:r>
      <w:r>
        <w:rPr>
          <w:rFonts w:hint="eastAsia"/>
          <w:color w:val="000000" w:themeColor="text1"/>
        </w:rPr>
        <w:t>年</w:t>
      </w:r>
      <w:r>
        <w:rPr>
          <w:rFonts w:hint="eastAsia"/>
          <w:color w:val="000000" w:themeColor="text1"/>
        </w:rPr>
        <w:t>(2015</w:t>
      </w:r>
      <w:r>
        <w:rPr>
          <w:rFonts w:hint="eastAsia"/>
          <w:color w:val="000000" w:themeColor="text1"/>
        </w:rPr>
        <w:t>年</w:t>
      </w:r>
      <w:r>
        <w:rPr>
          <w:rFonts w:hint="eastAsia"/>
          <w:color w:val="000000" w:themeColor="text1"/>
        </w:rPr>
        <w:t>)</w:t>
      </w:r>
      <w:r>
        <w:rPr>
          <w:rFonts w:hint="eastAsia"/>
          <w:color w:val="000000" w:themeColor="text1"/>
        </w:rPr>
        <w:t>４月から、在宅医療と介護を一体的に提供するため、医療機関と介護事業所等の関係者の連携を推進することを目的に、在宅医療・介護連携推進事業を実施しています。現在医師会が担っている「多職種による顔のみえる関係づくり」の研修会開催や医療資源の把握などに加えて、在宅かかりつけ医となる診療所をバックアップする</w:t>
      </w:r>
      <w:r>
        <w:rPr>
          <w:rFonts w:hint="eastAsia"/>
        </w:rPr>
        <w:t>在宅療養後方支援病院</w:t>
      </w:r>
      <w:r>
        <w:rPr>
          <w:rFonts w:hint="eastAsia"/>
          <w:color w:val="000000" w:themeColor="text1"/>
        </w:rPr>
        <w:t>の確保、どこの病院から退院しても在宅療養へスムーズに移行できる支援体制の強化など、市内の医療・介護サービス支援体制の整備に向け検討を進めます。</w:t>
      </w:r>
    </w:p>
    <w:p>
      <w:pPr>
        <w:pStyle w:val="0"/>
        <w:ind w:left="480" w:leftChars="100" w:hanging="240" w:hangingChars="100"/>
        <w:jc w:val="both"/>
        <w:rPr>
          <w:rFonts w:hint="default" w:ascii="メイリオ" w:hAnsi="メイリオ" w:eastAsia="メイリオ"/>
          <w:b w:val="1"/>
          <w:sz w:val="28"/>
          <w:u w:val="single" w:color="auto"/>
        </w:rPr>
      </w:pPr>
      <w:r>
        <w:rPr>
          <w:rFonts w:hint="eastAsia"/>
          <w:color w:val="000000" w:themeColor="text1"/>
        </w:rPr>
        <w:t>○　市民向け講演会等の開催、医療と介護関係者間の円滑な情報共有の仕組みづくりなど、医師会、歯科医師会、薬剤師会と協働して、在宅医療・介護連携推進事業を実施・推進していきます。</w:t>
      </w:r>
    </w:p>
    <w:p>
      <w:pPr>
        <w:pStyle w:val="0"/>
        <w:spacing w:line="240" w:lineRule="exact"/>
        <w:rPr>
          <w:rFonts w:hint="default"/>
        </w:rPr>
      </w:pPr>
    </w:p>
    <w:p>
      <w:pPr>
        <w:pStyle w:val="0"/>
        <w:ind w:left="480" w:leftChars="100" w:hanging="240" w:hangingChars="100"/>
        <w:rPr>
          <w:rFonts w:hint="default" w:ascii="メイリオ" w:hAnsi="メイリオ" w:eastAsia="メイリオ"/>
          <w:b w:val="1"/>
          <w:sz w:val="28"/>
          <w:u w:val="single" w:color="auto"/>
        </w:rPr>
      </w:pPr>
      <w:r>
        <w:rPr>
          <w:rFonts w:hint="eastAsia"/>
        </w:rPr>
        <w:t>■</w:t>
      </w:r>
      <w:r>
        <w:rPr>
          <w:rFonts w:hint="eastAsia" w:ascii="ＭＳ ゴシック" w:hAnsi="ＭＳ ゴシック" w:eastAsia="ＭＳ ゴシック"/>
        </w:rPr>
        <w:t>在宅医療・介護連携推進事業の事業項目と主な取組内容</w:t>
      </w:r>
    </w:p>
    <w:tbl>
      <w:tblPr>
        <w:tblStyle w:val="60"/>
        <w:tblW w:w="9526" w:type="dxa"/>
        <w:tblInd w:w="534" w:type="dxa"/>
        <w:tblLayout w:type="fixed"/>
        <w:tblLook w:firstRow="1" w:lastRow="0" w:firstColumn="1" w:lastColumn="0" w:noHBand="0" w:noVBand="1" w:val="04A0"/>
      </w:tblPr>
      <w:tblGrid>
        <w:gridCol w:w="9526"/>
      </w:tblGrid>
      <w:tr>
        <w:trPr/>
        <w:tc>
          <w:tcPr>
            <w:tcW w:w="9526" w:type="dxa"/>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□地域の医療・介護の資源の把握</w:t>
            </w:r>
          </w:p>
          <w:p>
            <w:pPr>
              <w:pStyle w:val="0"/>
              <w:ind w:left="360" w:leftChars="50" w:hanging="240" w:hangingChars="100"/>
              <w:jc w:val="both"/>
              <w:rPr>
                <w:rFonts w:hint="default" w:ascii="ＭＳ 明朝" w:hAnsi="ＭＳ 明朝" w:eastAsia="ＭＳ 明朝"/>
                <w:sz w:val="24"/>
              </w:rPr>
            </w:pPr>
            <w:r>
              <w:rPr>
                <w:rFonts w:hint="eastAsia" w:ascii="ＭＳ 明朝" w:hAnsi="ＭＳ 明朝" w:eastAsia="ＭＳ 明朝"/>
                <w:sz w:val="24"/>
              </w:rPr>
              <w:t>・医師会による「医療マップ」、「みのお認知症相談マップ」の作成、ホームページの作成</w:t>
            </w:r>
          </w:p>
          <w:p>
            <w:pPr>
              <w:pStyle w:val="0"/>
              <w:ind w:firstLine="120" w:firstLineChars="50"/>
              <w:jc w:val="both"/>
              <w:rPr>
                <w:rFonts w:hint="default" w:ascii="ＭＳ 明朝" w:hAnsi="ＭＳ 明朝" w:eastAsia="ＭＳ 明朝"/>
                <w:sz w:val="24"/>
              </w:rPr>
            </w:pPr>
            <w:r>
              <w:rPr>
                <w:rFonts w:hint="eastAsia" w:ascii="ＭＳ 明朝" w:hAnsi="ＭＳ 明朝" w:eastAsia="ＭＳ 明朝"/>
                <w:sz w:val="24"/>
              </w:rPr>
              <w:t>・市による「高齢者福祉サービスのご案内」の作成</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□在宅医療・介護連携の課題の抽出と対応策の検討</w:t>
            </w:r>
          </w:p>
          <w:p>
            <w:pPr>
              <w:pStyle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医師会による「在宅医療連携推進事業運営委員会」（隔月開催）において、地域の医療と介護の関係者、市などが参画し、在宅医療・介護連携の現状と課題の抽出、各機関において、課題に対する解決策に向けた取組を推進</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□切れ目のない在宅医療と介護の提供体制の構築推進</w:t>
            </w:r>
          </w:p>
          <w:p>
            <w:pPr>
              <w:pStyle w:val="0"/>
              <w:ind w:left="480" w:leftChars="100" w:hanging="240" w:hangingChars="100"/>
              <w:jc w:val="both"/>
              <w:rPr>
                <w:rFonts w:hint="default"/>
                <w:color w:val="FF0000"/>
                <w:sz w:val="24"/>
                <w:u w:val="single" w:color="auto"/>
              </w:rPr>
            </w:pPr>
            <w:r>
              <w:rPr>
                <w:rFonts w:hint="eastAsia" w:ascii="ＭＳ 明朝" w:hAnsi="ＭＳ 明朝" w:eastAsia="ＭＳ 明朝"/>
                <w:sz w:val="24"/>
              </w:rPr>
              <w:t>・医師会を核とした、多職種による在宅での看取りを含めた切れ目のない対応ができる体制の構築に向けて、診療所と病院の連携や在宅療養の後方支援のありかたを「在宅医療連携推進事業運営委員会」で検討</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□在宅医療・介護関係者の情報の共有の支援</w:t>
            </w:r>
          </w:p>
          <w:p>
            <w:pPr>
              <w:pStyle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・箕面市立病院によるＩＣＴを活用した「医療・介護連携情報システム」の導入</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□在宅医療・介護連携に関する相談支援</w:t>
            </w:r>
          </w:p>
          <w:p>
            <w:pPr>
              <w:pStyle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・市、地域包括支援センター、居宅介護支援事業所を中心とした市民の介護相談対応</w:t>
            </w:r>
          </w:p>
          <w:p>
            <w:pPr>
              <w:pStyle w:val="0"/>
              <w:ind w:left="480" w:leftChars="100" w:hanging="240" w:hangingChars="100"/>
              <w:jc w:val="both"/>
              <w:rPr>
                <w:rFonts w:hint="default" w:ascii="ＭＳ 明朝" w:hAnsi="ＭＳ 明朝" w:eastAsia="ＭＳ 明朝"/>
                <w:sz w:val="24"/>
              </w:rPr>
            </w:pPr>
            <w:r>
              <w:rPr>
                <w:rFonts w:hint="eastAsia" w:ascii="ＭＳ 明朝" w:hAnsi="ＭＳ 明朝" w:eastAsia="ＭＳ 明朝"/>
                <w:sz w:val="24"/>
              </w:rPr>
              <w:t>・各病院の医療相談窓口を中心とした退院支援及び在宅相談支援</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・医師会配置の在宅医療コーディネーターによる関係機関との連携</w:t>
            </w:r>
          </w:p>
          <w:p>
            <w:pPr>
              <w:pStyle w:val="0"/>
              <w:ind w:firstLine="240" w:firstLineChars="100"/>
              <w:jc w:val="both"/>
              <w:rPr>
                <w:rFonts w:hint="default"/>
                <w:sz w:val="24"/>
              </w:rPr>
            </w:pPr>
            <w:r>
              <w:rPr>
                <w:rFonts w:hint="eastAsia" w:ascii="ＭＳ 明朝" w:hAnsi="ＭＳ 明朝" w:eastAsia="ＭＳ 明朝"/>
                <w:sz w:val="24"/>
              </w:rPr>
              <w:t>・歯科医師会による在宅歯科ケアステーションの設置</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□医療・介護関係者の研修</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・市による「多職種連携研修会」の開催（年３回）</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□地域住民への普及啓発</w:t>
            </w:r>
          </w:p>
          <w:p>
            <w:pPr>
              <w:pStyle w:val="0"/>
              <w:ind w:firstLine="240" w:firstLineChars="100"/>
              <w:jc w:val="both"/>
              <w:rPr>
                <w:rFonts w:hint="default"/>
                <w:sz w:val="24"/>
              </w:rPr>
            </w:pPr>
            <w:r>
              <w:rPr>
                <w:rFonts w:hint="eastAsia" w:ascii="ＭＳ 明朝" w:hAnsi="ＭＳ 明朝" w:eastAsia="ＭＳ 明朝"/>
                <w:sz w:val="24"/>
              </w:rPr>
              <w:t>・市民向けの在宅医療・介護サービスに関する講演会等の開催（年１回）</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□在宅医療・介護連携に関する関係市町の連携</w:t>
            </w:r>
          </w:p>
          <w:p>
            <w:pPr>
              <w:pStyle w:val="0"/>
              <w:ind w:firstLine="240" w:firstLineChars="100"/>
              <w:jc w:val="both"/>
              <w:rPr>
                <w:rFonts w:hint="default"/>
                <w:sz w:val="24"/>
              </w:rPr>
            </w:pPr>
            <w:r>
              <w:rPr>
                <w:rFonts w:hint="eastAsia" w:ascii="ＭＳ 明朝" w:hAnsi="ＭＳ 明朝" w:eastAsia="ＭＳ 明朝"/>
                <w:sz w:val="24"/>
              </w:rPr>
              <w:t>・本市と同じ二次医療圏の市町と池田保健所との情報交換や協議の実施</w:t>
            </w:r>
          </w:p>
        </w:tc>
      </w:tr>
    </w:tbl>
    <w:p>
      <w:pPr>
        <w:rPr>
          <w:rFonts w:hint="default"/>
        </w:rPr>
        <w:sectPr>
          <w:pgSz w:w="11906" w:h="16838"/>
          <w:pgMar w:top="1440" w:right="1077" w:bottom="907" w:left="1077" w:header="851" w:footer="454" w:gutter="0"/>
          <w:cols w:space="720"/>
          <w:textDirection w:val="lrTb"/>
          <w:docGrid w:type="lines" w:linePitch="360"/>
        </w:sectPr>
      </w:pPr>
    </w:p>
    <w:p>
      <w:pPr>
        <w:pStyle w:val="5"/>
        <w:ind w:left="0" w:leftChars="0" w:firstLine="240" w:firstLineChars="100"/>
        <w:rPr>
          <w:rFonts w:hint="default" w:ascii="ＭＳ ゴシック" w:hAnsi="ＭＳ ゴシック" w:eastAsia="ＭＳ ゴシック"/>
        </w:rPr>
      </w:pPr>
      <w:bookmarkStart w:id="115" w:name="_Toc59007826"/>
      <w:r>
        <w:rPr>
          <w:rFonts w:hint="eastAsia" w:ascii="ＭＳ ゴシック" w:hAnsi="ＭＳ ゴシック" w:eastAsia="ＭＳ ゴシック"/>
        </w:rPr>
        <w:t>イ）在宅医療コーディネート機能</w:t>
      </w:r>
      <w:bookmarkEnd w:id="115"/>
    </w:p>
    <w:p>
      <w:pPr>
        <w:pStyle w:val="0"/>
        <w:tabs>
          <w:tab w:val="left" w:leader="none" w:pos="840"/>
        </w:tabs>
        <w:ind w:left="480" w:leftChars="100" w:hanging="240" w:hangingChars="100"/>
        <w:jc w:val="both"/>
        <w:rPr>
          <w:rFonts w:hint="default"/>
        </w:rPr>
      </w:pPr>
      <w:r>
        <w:rPr>
          <w:rFonts w:hint="eastAsia"/>
        </w:rPr>
        <w:t>○　医療機関と介護事業所等の関係者の連携を推進するため、入院施設と退院後の療養生活をつなぐ、病院と在宅訪問診療（往診）・訪問看護事業所をつなぐ等の在宅医療コーディネート機能を充実させます。</w:t>
      </w:r>
    </w:p>
    <w:p>
      <w:pPr>
        <w:pStyle w:val="0"/>
        <w:tabs>
          <w:tab w:val="left" w:leader="none" w:pos="840"/>
        </w:tabs>
        <w:ind w:left="480" w:leftChars="100" w:hanging="240" w:hangingChars="100"/>
        <w:jc w:val="both"/>
        <w:rPr>
          <w:rFonts w:hint="default"/>
        </w:rPr>
      </w:pPr>
      <w:r>
        <w:rPr>
          <w:rFonts w:hint="eastAsia"/>
        </w:rPr>
        <w:t>○　在宅医療コーディネート機能が十分果たされるよう、市と医師会が連携を強め、関係機関に粘り強く働きかけ、在宅医療のニーズや在宅等での看取りに対応できる在宅医療サービスの環境整備に努めます。</w:t>
      </w:r>
    </w:p>
    <w:p>
      <w:pPr>
        <w:pStyle w:val="0"/>
        <w:rPr>
          <w:rFonts w:hint="default"/>
        </w:rPr>
      </w:pPr>
    </w:p>
    <w:p>
      <w:pPr>
        <w:pStyle w:val="5"/>
        <w:ind w:left="0" w:leftChars="0" w:firstLine="240" w:firstLineChars="100"/>
        <w:jc w:val="both"/>
        <w:rPr>
          <w:rFonts w:hint="default" w:ascii="ＭＳ ゴシック" w:hAnsi="ＭＳ ゴシック" w:eastAsia="ＭＳ ゴシック"/>
        </w:rPr>
      </w:pPr>
      <w:bookmarkStart w:id="116" w:name="_Toc59007827"/>
      <w:r>
        <w:rPr>
          <w:rFonts w:hint="eastAsia" w:ascii="ＭＳ ゴシック" w:hAnsi="ＭＳ ゴシック" w:eastAsia="ＭＳ ゴシック"/>
        </w:rPr>
        <w:t>ウ）人生の最終段階における医療・ケアの意思決定のあり</w:t>
      </w:r>
      <w:bookmarkEnd w:id="116"/>
      <w:r>
        <w:rPr>
          <w:rFonts w:hint="eastAsia" w:ascii="ＭＳ ゴシック" w:hAnsi="ＭＳ ゴシック" w:eastAsia="ＭＳ ゴシック"/>
        </w:rPr>
        <w:t>かた</w:t>
      </w:r>
    </w:p>
    <w:p>
      <w:pPr>
        <w:pStyle w:val="0"/>
        <w:ind w:left="480" w:leftChars="100" w:hanging="240" w:hangingChars="100"/>
        <w:jc w:val="both"/>
        <w:rPr>
          <w:rFonts w:hint="default"/>
        </w:rPr>
      </w:pPr>
      <w:r>
        <w:rPr>
          <w:rFonts w:hint="eastAsia"/>
        </w:rPr>
        <w:t>○　自分自身がどのような最期を迎えたいかという意思を明らかにし、その意思について、日頃から家族や医療・介護従事者と繰り返し話し合うプロセスをＡＣＰ（アドバンス・ケア・プランニング）と言います。人生の最終段階において自らの意思が反映し選択できるように、ＡＣＰの概念を普及啓発していきます。</w:t>
      </w:r>
    </w:p>
    <w:p>
      <w:pPr>
        <w:pStyle w:val="0"/>
        <w:ind w:left="240" w:leftChars="100"/>
        <w:jc w:val="both"/>
        <w:rPr>
          <w:rFonts w:hint="default"/>
          <w:color w:val="FF0000"/>
        </w:rPr>
      </w:pPr>
    </w:p>
    <w:p>
      <w:pPr>
        <w:pStyle w:val="5"/>
        <w:ind w:left="0" w:leftChars="0" w:firstLine="240" w:firstLineChars="100"/>
        <w:jc w:val="both"/>
        <w:rPr>
          <w:rFonts w:hint="default" w:ascii="ＭＳ ゴシック" w:hAnsi="ＭＳ ゴシック" w:eastAsia="ＭＳ ゴシック"/>
          <w:color w:val="000000" w:themeColor="text1"/>
        </w:rPr>
      </w:pPr>
      <w:bookmarkStart w:id="117" w:name="_Toc59007828"/>
      <w:r>
        <w:rPr>
          <w:rFonts w:hint="eastAsia" w:ascii="ＭＳ ゴシック" w:hAnsi="ＭＳ ゴシック" w:eastAsia="ＭＳ ゴシック"/>
          <w:color w:val="000000" w:themeColor="text1"/>
        </w:rPr>
        <w:t>エ）医療計画との整合性</w:t>
      </w:r>
      <w:bookmarkEnd w:id="117"/>
    </w:p>
    <w:p>
      <w:pPr>
        <w:pStyle w:val="0"/>
        <w:ind w:left="480" w:leftChars="100" w:hanging="240" w:hangingChars="100"/>
        <w:jc w:val="both"/>
        <w:rPr>
          <w:rFonts w:hint="default"/>
          <w:color w:val="000000" w:themeColor="text1"/>
        </w:rPr>
      </w:pPr>
      <w:r>
        <w:rPr>
          <w:rFonts w:hint="eastAsia"/>
          <w:color w:val="000000" w:themeColor="text1"/>
        </w:rPr>
        <w:t>○　病床の機能分化及び連携の推進による効率的で質の高い医療提供体制</w:t>
      </w:r>
      <w:r>
        <w:rPr>
          <w:rFonts w:hint="eastAsia"/>
          <w:color w:val="C00000"/>
        </w:rPr>
        <w:t>、</w:t>
      </w:r>
      <w:r>
        <w:rPr>
          <w:rFonts w:hint="eastAsia"/>
          <w:color w:val="000000" w:themeColor="text1"/>
        </w:rPr>
        <w:t>在宅医療・介護の充実等が一体的に行われるよう、大阪府や池田保健所、豊能二次医療圏域の市町関係者による「協議の場」を活用し、大阪府地域医療構想も含む医療計画もふまえつつ、地域の在宅医療の利用者、提供体制の整備目標等を参酌しつつ、介護サービスの提供体制の整備を進めます。</w:t>
      </w:r>
    </w:p>
    <w:p>
      <w:pPr>
        <w:pStyle w:val="0"/>
        <w:ind w:left="480" w:leftChars="100" w:hanging="240" w:hangingChars="100"/>
        <w:jc w:val="both"/>
        <w:rPr>
          <w:rFonts w:hint="default"/>
          <w:color w:val="000000" w:themeColor="text1"/>
        </w:rPr>
      </w:pPr>
      <w:r>
        <w:rPr>
          <w:rFonts w:hint="eastAsia"/>
          <w:color w:val="000000" w:themeColor="text1"/>
        </w:rPr>
        <w:t>○　地域医療構想に基づく病床の機能分化・連携に伴い生じる、在宅医療等の新たなサービス必要量（医療計画における在宅医療の整備目標）と本計画において掲げる介護サービス見込み量は、均衡が図られ整合したものにしていくことが重要です。</w:t>
      </w:r>
    </w:p>
    <w:p>
      <w:pPr>
        <w:pStyle w:val="0"/>
        <w:ind w:left="480" w:leftChars="100" w:hanging="240" w:hangingChars="100"/>
        <w:jc w:val="both"/>
        <w:rPr>
          <w:rFonts w:hint="default" w:ascii="メイリオ" w:hAnsi="メイリオ" w:eastAsia="メイリオ"/>
          <w:b w:val="1"/>
          <w:sz w:val="28"/>
          <w:u w:val="single" w:color="auto"/>
        </w:rPr>
      </w:pPr>
      <w:r>
        <w:rPr>
          <w:rFonts w:hint="eastAsia"/>
          <w:color w:val="000000" w:themeColor="text1"/>
        </w:rPr>
        <w:t>○　国が示す地域医療構想では、現在の療養病床の削減に伴い、令和７年</w:t>
      </w:r>
      <w:r>
        <w:rPr>
          <w:rFonts w:hint="eastAsia"/>
          <w:color w:val="000000" w:themeColor="text1"/>
        </w:rPr>
        <w:t>(2025</w:t>
      </w:r>
      <w:r>
        <w:rPr>
          <w:rFonts w:hint="eastAsia"/>
          <w:color w:val="000000" w:themeColor="text1"/>
        </w:rPr>
        <w:t>年</w:t>
      </w:r>
      <w:r>
        <w:rPr>
          <w:rFonts w:hint="eastAsia"/>
          <w:color w:val="000000" w:themeColor="text1"/>
        </w:rPr>
        <w:t>)</w:t>
      </w:r>
      <w:r>
        <w:rPr>
          <w:rFonts w:hint="eastAsia"/>
          <w:color w:val="000000" w:themeColor="text1"/>
        </w:rPr>
        <w:t>までにこれまで療養病床への入院対象であった本市の高齢</w:t>
      </w:r>
      <w:r>
        <w:rPr>
          <w:rFonts w:hint="eastAsia"/>
        </w:rPr>
        <w:t>者</w:t>
      </w:r>
      <w:r>
        <w:rPr>
          <w:rFonts w:hint="eastAsia"/>
        </w:rPr>
        <w:t>143</w:t>
      </w:r>
      <w:r>
        <w:rPr>
          <w:rFonts w:hint="eastAsia"/>
        </w:rPr>
        <w:t>人が、介護施設や在宅医療等で対応が必要と推計されています。これをふまえ本市では、介護施設と在宅医療等の各々の対象者数を、介護施設</w:t>
      </w:r>
      <w:r>
        <w:rPr>
          <w:rFonts w:hint="eastAsia"/>
        </w:rPr>
        <w:t>33</w:t>
      </w:r>
      <w:r>
        <w:rPr>
          <w:rFonts w:hint="eastAsia"/>
        </w:rPr>
        <w:t>人、在宅医療等</w:t>
      </w:r>
      <w:r>
        <w:rPr>
          <w:rFonts w:hint="eastAsia"/>
        </w:rPr>
        <w:t>110</w:t>
      </w:r>
      <w:r>
        <w:rPr>
          <w:rFonts w:hint="eastAsia"/>
        </w:rPr>
        <w:t>人と想定</w:t>
      </w:r>
      <w:r>
        <w:rPr>
          <w:rFonts w:hint="eastAsia"/>
          <w:color w:val="000000" w:themeColor="text1"/>
        </w:rPr>
        <w:t>しています。</w:t>
      </w:r>
    </w:p>
    <w:p>
      <w:pPr>
        <w:pStyle w:val="0"/>
        <w:ind w:left="240" w:leftChars="100"/>
        <w:jc w:val="both"/>
        <w:rPr>
          <w:rFonts w:hint="default"/>
          <w:color w:val="FF0000"/>
        </w:rPr>
      </w:pPr>
    </w:p>
    <w:p>
      <w:pPr>
        <w:pStyle w:val="5"/>
        <w:ind w:left="0" w:leftChars="0" w:firstLine="240" w:firstLineChars="100"/>
        <w:jc w:val="both"/>
        <w:rPr>
          <w:rFonts w:hint="default" w:ascii="ＭＳ ゴシック" w:hAnsi="ＭＳ ゴシック" w:eastAsia="ＭＳ ゴシック"/>
        </w:rPr>
      </w:pPr>
      <w:bookmarkStart w:id="118" w:name="_Toc59007829"/>
      <w:r>
        <w:rPr>
          <w:rFonts w:hint="eastAsia" w:ascii="ＭＳ ゴシック" w:hAnsi="ＭＳ ゴシック" w:eastAsia="ＭＳ ゴシック"/>
        </w:rPr>
        <w:t>オ）かかりつけ医等の普及・啓発</w:t>
      </w:r>
      <w:bookmarkEnd w:id="118"/>
    </w:p>
    <w:p>
      <w:pPr>
        <w:pStyle w:val="0"/>
        <w:ind w:left="480" w:leftChars="100" w:hanging="240" w:hangingChars="100"/>
        <w:jc w:val="both"/>
        <w:rPr>
          <w:rFonts w:hint="default"/>
          <w:color w:val="000000" w:themeColor="text1"/>
        </w:rPr>
      </w:pPr>
      <w:r>
        <w:rPr>
          <w:rFonts w:hint="eastAsia"/>
          <w:color w:val="000000" w:themeColor="text1"/>
        </w:rPr>
        <w:t>○　普段から高齢者の健康状態を総合的に把握し、病気の早期発見や早期回復に向けて一人ひとりに合った治療や健康管理を行うことをめざし、高齢者が元気なときから「かかりつけ医」、「かかりつけ歯科医」、「かかりつけ薬剤師・薬局」を持ち、健康増進や病気の早期発見に取り組めるよう、普及・啓発を行っていきます。</w:t>
      </w:r>
    </w:p>
    <w:p>
      <w:pPr>
        <w:pStyle w:val="0"/>
        <w:ind w:left="240" w:leftChars="100"/>
        <w:rPr>
          <w:rFonts w:hint="default"/>
          <w:color w:val="FF0000"/>
        </w:rPr>
      </w:pPr>
    </w:p>
    <w:p>
      <w:pPr>
        <w:pStyle w:val="4"/>
        <w:ind w:left="0" w:leftChars="0"/>
        <w:rPr>
          <w:rFonts w:hint="default"/>
          <w:sz w:val="28"/>
        </w:rPr>
      </w:pPr>
      <w:bookmarkStart w:id="119" w:name="_Toc59007830"/>
      <w:r>
        <w:rPr>
          <w:rFonts w:hint="eastAsia" w:ascii="ＭＳ ゴシック" w:hAnsi="ＭＳ ゴシック" w:eastAsia="ＭＳ ゴシック"/>
          <w:b w:val="0"/>
          <w:sz w:val="28"/>
        </w:rPr>
        <w:t>（６）権利擁護の推進</w:t>
      </w:r>
      <w:bookmarkEnd w:id="119"/>
    </w:p>
    <w:p>
      <w:pPr>
        <w:pStyle w:val="5"/>
        <w:ind w:left="0" w:leftChars="0" w:firstLine="240" w:firstLineChars="100"/>
        <w:jc w:val="both"/>
        <w:rPr>
          <w:rFonts w:hint="default" w:ascii="ＭＳ ゴシック" w:hAnsi="ＭＳ ゴシック" w:eastAsia="ＭＳ ゴシック"/>
        </w:rPr>
      </w:pPr>
      <w:bookmarkStart w:id="120" w:name="_Toc59007831"/>
      <w:r>
        <w:rPr>
          <w:rFonts w:hint="eastAsia" w:ascii="ＭＳ ゴシック" w:hAnsi="ＭＳ ゴシック" w:eastAsia="ＭＳ ゴシック"/>
        </w:rPr>
        <w:t>ア）高齢者虐待防止策の推進</w:t>
      </w:r>
      <w:bookmarkEnd w:id="120"/>
    </w:p>
    <w:p>
      <w:pPr>
        <w:pStyle w:val="0"/>
        <w:ind w:left="480" w:leftChars="100" w:hanging="240" w:hangingChars="100"/>
        <w:jc w:val="both"/>
        <w:rPr>
          <w:rFonts w:hint="default"/>
        </w:rPr>
      </w:pPr>
      <w:r>
        <w:rPr>
          <w:rFonts w:hint="eastAsia"/>
        </w:rPr>
        <w:t>○　地域包括支援センターや介護サービス事業者、民生委員・児童委員、地区福祉会等の様々な機関を通じ、「高齢者虐待の防止、高齢者の養護者に対する支援等に関する法律」（平成</w:t>
      </w:r>
      <w:r>
        <w:rPr>
          <w:rFonts w:hint="default"/>
        </w:rPr>
        <w:t>17</w:t>
      </w:r>
      <w:r>
        <w:rPr>
          <w:rFonts w:hint="default"/>
        </w:rPr>
        <w:t>年法律第</w:t>
      </w:r>
      <w:r>
        <w:rPr>
          <w:rFonts w:hint="default"/>
        </w:rPr>
        <w:t>124</w:t>
      </w:r>
      <w:r>
        <w:rPr>
          <w:rFonts w:hint="default"/>
        </w:rPr>
        <w:t>号）に係る虐待の定義や虐待の速やかな発見、虐待を発見した際の通報義務等について、きめ細か</w:t>
      </w:r>
      <w:r>
        <w:rPr>
          <w:rFonts w:hint="eastAsia"/>
        </w:rPr>
        <w:t>く</w:t>
      </w:r>
      <w:r>
        <w:rPr>
          <w:rFonts w:hint="default"/>
        </w:rPr>
        <w:t>周知を行います。</w:t>
      </w:r>
    </w:p>
    <w:p>
      <w:pPr>
        <w:pStyle w:val="0"/>
        <w:ind w:left="480" w:leftChars="100" w:hanging="240" w:hangingChars="100"/>
        <w:jc w:val="both"/>
        <w:rPr>
          <w:rFonts w:hint="default"/>
        </w:rPr>
      </w:pPr>
      <w:r>
        <w:rPr>
          <w:rFonts w:hint="eastAsia"/>
        </w:rPr>
        <w:t>○　家族介護者の介護負担の増大が高齢者虐待の主な要因のひとつとも考えられることから、介護者による虐待を未然に防止するため、家族介護者への支援の充実を図るとともに、介護者のニーズに合った支援方法について検討します。</w:t>
      </w:r>
    </w:p>
    <w:p>
      <w:pPr>
        <w:pStyle w:val="0"/>
        <w:ind w:left="480" w:leftChars="100" w:hanging="240" w:hangingChars="100"/>
        <w:jc w:val="both"/>
        <w:rPr>
          <w:rFonts w:hint="default"/>
          <w:color w:val="000000" w:themeColor="text1"/>
        </w:rPr>
      </w:pPr>
      <w:r>
        <w:rPr>
          <w:rFonts w:hint="eastAsia"/>
          <w:color w:val="000000" w:themeColor="text1"/>
        </w:rPr>
        <w:t>○　高齢者虐待事案を把握した場合にあっては、市、地域包括支援センター等が中心となって、「箕面市高齢者虐待対応マニュアル」</w:t>
      </w:r>
      <w:r>
        <w:rPr>
          <w:rFonts w:hint="default"/>
          <w:color w:val="000000" w:themeColor="text1"/>
        </w:rPr>
        <w:t>に基づいて、状況の確認を行うとともに、速やかな解決を図ります。</w:t>
      </w:r>
    </w:p>
    <w:p>
      <w:pPr>
        <w:pStyle w:val="0"/>
        <w:ind w:left="480" w:leftChars="100" w:hanging="240" w:hangingChars="100"/>
        <w:jc w:val="both"/>
        <w:rPr>
          <w:rFonts w:hint="default" w:ascii="メイリオ" w:hAnsi="メイリオ" w:eastAsia="メイリオ"/>
          <w:b w:val="1"/>
          <w:sz w:val="28"/>
          <w:u w:val="single" w:color="auto"/>
        </w:rPr>
      </w:pPr>
      <w:r>
        <w:rPr>
          <w:rFonts w:hint="eastAsia"/>
          <w:color w:val="000000" w:themeColor="text1"/>
        </w:rPr>
        <w:t>○　高齢者虐待への対応には、地域包括支援センター、介護サービス事業者、地域住民、地域における多様な関係団体との連携が不可欠です。虐待発生時に地域や介護現場から地域包括支援センターや市に迅速に通報し対応する体制、また、地域の機関が連携して虐待の早期解決に取り組む体制の充実を図ります。（図表</w:t>
      </w:r>
      <w:r>
        <w:rPr>
          <w:rFonts w:hint="eastAsia"/>
          <w:color w:val="000000" w:themeColor="text1"/>
        </w:rPr>
        <w:t>92</w:t>
      </w:r>
      <w:r>
        <w:rPr>
          <w:rFonts w:hint="eastAsia"/>
          <w:color w:val="000000" w:themeColor="text1"/>
        </w:rPr>
        <w:t>参照）</w:t>
      </w: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pStyle w:val="0"/>
        <w:ind w:left="240" w:leftChars="100"/>
        <w:rPr>
          <w:rFonts w:hint="default"/>
          <w:color w:val="FF0000"/>
        </w:rPr>
      </w:pPr>
    </w:p>
    <w:p>
      <w:pPr>
        <w:rPr>
          <w:rFonts w:hint="default" w:ascii="ＭＳ ゴシック" w:hAnsi="ＭＳ ゴシック" w:eastAsia="ＭＳ ゴシック"/>
          <w:sz w:val="21"/>
        </w:rPr>
        <w:sectPr>
          <w:pgSz w:w="11906" w:h="16838"/>
          <w:pgMar w:top="1440" w:right="1080" w:bottom="1440" w:left="1080" w:header="851" w:footer="454" w:gutter="0"/>
          <w:cols w:space="720"/>
          <w:textDirection w:val="lrTb"/>
          <w:docGrid w:type="lines" w:linePitch="360"/>
        </w:sectPr>
      </w:pPr>
    </w:p>
    <w:p>
      <w:pPr>
        <w:pStyle w:val="0"/>
        <w:ind w:left="450" w:leftChars="100" w:hanging="210" w:hangingChars="100"/>
        <w:jc w:val="center"/>
        <w:rPr>
          <w:rFonts w:hint="default" w:ascii="メイリオ" w:hAnsi="メイリオ" w:eastAsia="メイリオ"/>
          <w:b w:val="1"/>
          <w:sz w:val="28"/>
          <w:u w:val="single" w:color="auto"/>
        </w:rPr>
      </w:pPr>
      <w:r>
        <w:rPr>
          <w:rFonts w:hint="eastAsia" w:ascii="ＭＳ ゴシック" w:hAnsi="ＭＳ ゴシック" w:eastAsia="ＭＳ ゴシック"/>
          <w:color w:val="000000" w:themeColor="text1"/>
          <w:sz w:val="21"/>
        </w:rPr>
        <w:t>図表</w:t>
      </w:r>
      <w:r>
        <w:rPr>
          <w:rFonts w:hint="eastAsia" w:ascii="ＭＳ ゴシック" w:hAnsi="ＭＳ ゴシック" w:eastAsia="ＭＳ ゴシック"/>
          <w:color w:val="000000" w:themeColor="text1"/>
          <w:sz w:val="21"/>
        </w:rPr>
        <w:t>92</w:t>
      </w:r>
      <w:r>
        <w:rPr>
          <w:rFonts w:hint="eastAsia" w:ascii="ＭＳ ゴシック" w:hAnsi="ＭＳ ゴシック" w:eastAsia="ＭＳ ゴシック"/>
          <w:color w:val="000000" w:themeColor="text1"/>
          <w:sz w:val="21"/>
        </w:rPr>
        <w:t>：高齢者虐待対応のイメージ図</w:t>
      </w:r>
    </w:p>
    <w:p>
      <w:pPr>
        <w:pStyle w:val="0"/>
        <w:ind w:left="240" w:leftChars="100"/>
        <w:jc w:val="center"/>
        <w:rPr>
          <w:rFonts w:hint="default"/>
          <w:b w:val="1"/>
          <w:color w:val="FF0000"/>
        </w:rPr>
      </w:pPr>
      <w:bookmarkStart w:id="121" w:name="_Toc497929519"/>
      <w:bookmarkEnd w:id="121"/>
      <w:r>
        <w:rPr>
          <w:rFonts w:hint="default"/>
        </w:rPr>
        <w:drawing>
          <wp:inline distT="0" distB="0" distL="0" distR="0">
            <wp:extent cx="5427980" cy="6982460"/>
            <wp:effectExtent l="0" t="0" r="0" b="0"/>
            <wp:docPr id="1290" name="オブジェクト 0"/>
            <a:graphic xmlns:a="http://schemas.openxmlformats.org/drawingml/2006/main">
              <a:graphicData uri="http://schemas.openxmlformats.org/drawingml/2006/picture">
                <pic:pic xmlns:pic="http://schemas.openxmlformats.org/drawingml/2006/picture">
                  <pic:nvPicPr>
                    <pic:cNvPr id="1290" name="オブジェクト 0"/>
                    <pic:cNvPicPr/>
                  </pic:nvPicPr>
                  <pic:blipFill>
                    <a:blip r:embed="rId101"/>
                    <a:srcRect b="1392"/>
                    <a:stretch>
                      <a:fillRect/>
                    </a:stretch>
                  </pic:blipFill>
                  <pic:spPr>
                    <a:xfrm>
                      <a:off x="0" y="0"/>
                      <a:ext cx="5427980" cy="6982460"/>
                    </a:xfrm>
                    <a:prstGeom prst="rect">
                      <a:avLst/>
                    </a:prstGeom>
                    <a:ln>
                      <a:noFill/>
                    </a:ln>
                  </pic:spPr>
                </pic:pic>
              </a:graphicData>
            </a:graphic>
          </wp:inline>
        </w:drawing>
      </w:r>
    </w:p>
    <w:p>
      <w:pPr>
        <w:pStyle w:val="0"/>
        <w:ind w:left="240" w:leftChars="100"/>
        <w:jc w:val="center"/>
        <w:rPr>
          <w:rFonts w:hint="default"/>
          <w:b w:val="1"/>
          <w:color w:val="FF0000"/>
        </w:rPr>
      </w:pPr>
    </w:p>
    <w:p>
      <w:pPr>
        <w:pStyle w:val="5"/>
        <w:ind w:left="0" w:leftChars="0"/>
        <w:jc w:val="both"/>
        <w:rPr>
          <w:rFonts w:hint="default" w:ascii="ＭＳ ゴシック" w:hAnsi="ＭＳ ゴシック" w:eastAsia="ＭＳ ゴシック"/>
        </w:rPr>
      </w:pPr>
      <w:bookmarkStart w:id="122" w:name="_Toc59007832"/>
      <w:r>
        <w:rPr>
          <w:rFonts w:hint="eastAsia" w:ascii="ＭＳ ゴシック" w:hAnsi="ＭＳ ゴシック" w:eastAsia="ＭＳ ゴシック"/>
        </w:rPr>
        <w:t>イ）権利擁護の取組の充実</w:t>
      </w:r>
      <w:bookmarkEnd w:id="122"/>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①権利擁護を推進する各種制度の活用</w:t>
      </w:r>
    </w:p>
    <w:p>
      <w:pPr>
        <w:pStyle w:val="0"/>
        <w:ind w:left="720" w:leftChars="200" w:hanging="240" w:hangingChars="100"/>
        <w:jc w:val="both"/>
        <w:rPr>
          <w:rFonts w:hint="default"/>
        </w:rPr>
      </w:pPr>
      <w:r>
        <w:rPr>
          <w:rFonts w:hint="eastAsia"/>
          <w:color w:val="000000" w:themeColor="text1"/>
        </w:rPr>
        <w:t>○　認知症高齢者の増加等により、権利擁護の取組の充実が求められている中で、成年後見制度の申立件数は全国的に増加しています。市民への高齢者虐待防止周知に併せて、権利擁護を推進する各種制度の利用についても、より一層分かりやす</w:t>
      </w:r>
      <w:r>
        <w:rPr>
          <w:rFonts w:hint="eastAsia"/>
        </w:rPr>
        <w:t>く、きめ細かい広報・啓発に努めます。</w:t>
      </w:r>
    </w:p>
    <w:p>
      <w:pPr>
        <w:rPr>
          <w:rFonts w:hint="default"/>
        </w:rPr>
        <w:sectPr>
          <w:pgSz w:w="11906" w:h="16838"/>
          <w:pgMar w:top="1440" w:right="1077" w:bottom="1077" w:left="1077" w:header="851" w:footer="454" w:gutter="0"/>
          <w:cols w:space="720"/>
          <w:textDirection w:val="lrTb"/>
          <w:docGrid w:type="lines" w:linePitch="360"/>
        </w:sectPr>
      </w:pPr>
    </w:p>
    <w:p>
      <w:pPr>
        <w:pStyle w:val="0"/>
        <w:ind w:left="720" w:leftChars="200" w:hanging="240" w:hangingChars="100"/>
        <w:jc w:val="both"/>
        <w:rPr>
          <w:rFonts w:hint="default"/>
        </w:rPr>
      </w:pPr>
      <w:r>
        <w:rPr>
          <w:rFonts w:hint="eastAsia"/>
        </w:rPr>
        <w:t>○　認知症高齢者等が成年後見制度など権利擁護事業による支援を受け、安心して生活を送ることができるよう、市、地域包括支援センター、民生委員・児童委員や社会福祉協議会等、関係機関の連携により、潜在的なニーズの把握を行い、より一層の利用促進を図ります。</w:t>
      </w:r>
    </w:p>
    <w:p>
      <w:pPr>
        <w:pStyle w:val="0"/>
        <w:ind w:left="720" w:leftChars="200" w:hanging="240" w:hangingChars="100"/>
        <w:jc w:val="both"/>
        <w:rPr>
          <w:rFonts w:hint="default"/>
        </w:rPr>
      </w:pPr>
      <w:r>
        <w:rPr>
          <w:rFonts w:hint="eastAsia"/>
        </w:rPr>
        <w:t>○　高齢者の同居家族が、引きこもり、貧困、障害、失業などの課題を抱えているために介護者として役割を果たせていないケースもみられることから、市の障害福祉担当や池田保健所、地域包括支援センターをはじめとする様々な相談支援機関等と連携し、高齢者が安心して生活できるよう支援します。</w:t>
      </w:r>
    </w:p>
    <w:p>
      <w:pPr>
        <w:pStyle w:val="0"/>
        <w:ind w:left="720" w:leftChars="200" w:hanging="240" w:hangingChars="100"/>
        <w:jc w:val="both"/>
        <w:rPr>
          <w:rFonts w:hint="default"/>
          <w:strike w:val="1"/>
        </w:rPr>
      </w:pPr>
      <w:r>
        <w:rPr>
          <w:rFonts w:hint="eastAsia"/>
        </w:rPr>
        <w:t>○　経済的な困窮や社会的孤立に陥るおそれのある高齢者については、生活困窮者自立支援事業</w:t>
      </w:r>
      <w:r>
        <w:rPr>
          <w:rFonts w:hint="eastAsia"/>
          <w:vertAlign w:val="superscript"/>
        </w:rPr>
        <w:t>※</w:t>
      </w:r>
      <w:r>
        <w:rPr>
          <w:rStyle w:val="42"/>
          <w:rFonts w:hint="eastAsia"/>
        </w:rPr>
        <w:footnoteReference w:id="15"/>
      </w:r>
      <w:r>
        <w:rPr>
          <w:rFonts w:hint="eastAsia"/>
        </w:rPr>
        <w:t>を活用し、庁内外の関係部局や各種機関・団体と連携しながら、自立した生活を送ることができるよう支援を行います。</w:t>
      </w:r>
    </w:p>
    <w:p>
      <w:pPr>
        <w:pStyle w:val="0"/>
        <w:ind w:left="720" w:leftChars="200" w:hanging="240" w:hangingChars="100"/>
        <w:jc w:val="both"/>
        <w:rPr>
          <w:rFonts w:hint="default"/>
          <w:color w:val="FF0000"/>
          <w:u w:val="single" w:color="auto"/>
        </w:rPr>
      </w:pPr>
      <w:r>
        <w:rPr>
          <w:rFonts w:hint="eastAsia"/>
        </w:rPr>
        <w:t>○　知的障害者等の成年後見利用支援等を行う市障害福祉担当との連携を図りながら、専門的な相談を受けられる体制整備、後見人支援等の機能整備、継続的な運営が可能な法人後見の担い手を確保します。</w:t>
      </w:r>
    </w:p>
    <w:p>
      <w:pPr>
        <w:pStyle w:val="0"/>
        <w:ind w:left="720" w:leftChars="200" w:hanging="240" w:hangingChars="100"/>
        <w:jc w:val="both"/>
        <w:rPr>
          <w:rFonts w:hint="default"/>
          <w:color w:val="000000" w:themeColor="text1"/>
        </w:rPr>
      </w:pPr>
      <w:r>
        <w:rPr>
          <w:rFonts w:hint="eastAsia"/>
          <w:color w:val="000000" w:themeColor="text1"/>
        </w:rPr>
        <w:t>○　身寄りがなく、成年後見制度の利用が困難な高齢者については、市が当事者に代わって家庭裁判所へ申立てを行う「市長申立て」を行っており、低所得者への報酬等の助成と併せて利用を促進します。</w:t>
      </w:r>
    </w:p>
    <w:p>
      <w:pPr>
        <w:pStyle w:val="0"/>
        <w:ind w:left="720" w:leftChars="200" w:hanging="240" w:hangingChars="100"/>
        <w:jc w:val="both"/>
        <w:rPr>
          <w:rFonts w:hint="default"/>
          <w:color w:val="000000" w:themeColor="text1"/>
        </w:rPr>
      </w:pPr>
      <w:r>
        <w:rPr>
          <w:rFonts w:hint="eastAsia"/>
          <w:color w:val="000000" w:themeColor="text1"/>
        </w:rPr>
        <w:t>○　権利擁護においては、今後、法律的専門性がますます増大することが予測されることから、弁護士や司法書士といった法律の専門家への相談体制等、多様な専門職種との連携のありかたについて検討を進めます。</w:t>
      </w:r>
    </w:p>
    <w:p>
      <w:pPr>
        <w:pStyle w:val="0"/>
        <w:jc w:val="both"/>
        <w:rPr>
          <w:rFonts w:hint="default"/>
        </w:rPr>
      </w:pPr>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②消費者被害の防止</w:t>
      </w:r>
    </w:p>
    <w:p>
      <w:pPr>
        <w:pStyle w:val="0"/>
        <w:ind w:left="720" w:leftChars="200" w:hanging="240" w:hangingChars="100"/>
        <w:jc w:val="both"/>
        <w:rPr>
          <w:rFonts w:hint="default"/>
        </w:rPr>
      </w:pPr>
      <w:r>
        <w:rPr>
          <w:rFonts w:hint="eastAsia"/>
        </w:rPr>
        <w:t>○　高齢者向けのバリアフリー住宅改造等の相談や消防機器の点検等と称した悪質な商法による消費者被害は、高齢者の消費生活のあらゆる面に及んでいるため、高齢者の相談窓口である地域包括支援センターが中心となり、消費生活センター、警察、消防等の多様な関係機関と連携を強化して、引き続き高齢者の消費生活トラブルを未然に防止するよう努めます。</w:t>
      </w:r>
    </w:p>
    <w:p>
      <w:pPr>
        <w:pStyle w:val="0"/>
        <w:ind w:left="720" w:leftChars="200" w:hanging="240" w:hangingChars="100"/>
        <w:jc w:val="both"/>
        <w:rPr>
          <w:rFonts w:hint="default"/>
        </w:rPr>
      </w:pPr>
    </w:p>
    <w:p>
      <w:pPr>
        <w:pStyle w:val="0"/>
        <w:ind w:firstLine="240" w:firstLineChars="100"/>
        <w:jc w:val="both"/>
        <w:rPr>
          <w:rFonts w:hint="default" w:ascii="ＭＳ ゴシック" w:hAnsi="ＭＳ ゴシック" w:eastAsia="ＭＳ ゴシック"/>
        </w:rPr>
      </w:pPr>
      <w:r>
        <w:rPr>
          <w:rFonts w:hint="eastAsia" w:ascii="ＭＳ ゴシック" w:hAnsi="ＭＳ ゴシック" w:eastAsia="ＭＳ ゴシック"/>
        </w:rPr>
        <w:t>③個人情報の適切な利用</w:t>
      </w:r>
    </w:p>
    <w:p>
      <w:pPr>
        <w:pStyle w:val="0"/>
        <w:ind w:left="720" w:leftChars="200" w:hanging="240" w:hangingChars="100"/>
        <w:jc w:val="both"/>
        <w:rPr>
          <w:rFonts w:hint="default"/>
        </w:rPr>
      </w:pPr>
      <w:r>
        <w:rPr>
          <w:rFonts w:hint="eastAsia"/>
        </w:rPr>
        <w:t>○　権利擁護の取組の推進においては、関係機関が必要な情報を適切に把握し、共有することが重要となりますが、情報の共有にあたっては、適切かつ慎重に取り扱うよう、関係機関に周知します。</w:t>
      </w:r>
    </w:p>
    <w:p>
      <w:pPr>
        <w:pStyle w:val="0"/>
        <w:jc w:val="both"/>
        <w:rPr>
          <w:rFonts w:hint="default"/>
        </w:rPr>
      </w:pPr>
    </w:p>
    <w:p>
      <w:pPr>
        <w:pStyle w:val="0"/>
        <w:jc w:val="both"/>
        <w:rPr>
          <w:rFonts w:hint="default"/>
        </w:rPr>
      </w:pPr>
    </w:p>
    <w:p>
      <w:pPr>
        <w:pStyle w:val="0"/>
        <w:jc w:val="both"/>
        <w:rPr>
          <w:rFonts w:hint="default"/>
        </w:rPr>
      </w:pPr>
    </w:p>
    <w:p>
      <w:pPr>
        <w:pStyle w:val="3"/>
        <w:ind w:left="0" w:leftChars="0"/>
        <w:rPr>
          <w:rFonts w:hint="default" w:ascii="メイリオ" w:hAnsi="メイリオ" w:eastAsia="メイリオ"/>
          <w:b w:val="1"/>
          <w:sz w:val="28"/>
          <w:u w:val="single" w:color="auto"/>
        </w:rPr>
      </w:pPr>
      <w:bookmarkStart w:id="123" w:name="_Toc59007833"/>
      <w:r>
        <w:rPr>
          <w:rFonts w:hint="eastAsia" w:ascii="メイリオ" w:hAnsi="メイリオ" w:eastAsia="メイリオ"/>
          <w:b w:val="1"/>
          <w:sz w:val="32"/>
          <w:u w:val="single" w:color="auto"/>
        </w:rPr>
        <w:t>３．認知症高齢者支援策の充実</w:t>
      </w:r>
      <w:bookmarkEnd w:id="123"/>
      <w:r>
        <w:rPr>
          <w:rFonts w:hint="eastAsia" w:ascii="メイリオ" w:hAnsi="メイリオ" w:eastAsia="メイリオ"/>
          <w:b w:val="1"/>
          <w:sz w:val="32"/>
          <w:u w:val="single" w:color="auto"/>
        </w:rPr>
        <w:t>　　　　　　　　　　　　　　　　　　　　　　</w:t>
      </w:r>
    </w:p>
    <w:p>
      <w:pPr>
        <w:pStyle w:val="0"/>
        <w:ind w:left="240" w:hanging="240" w:hangingChars="100"/>
        <w:jc w:val="both"/>
        <w:rPr>
          <w:rFonts w:hint="default"/>
        </w:rPr>
      </w:pPr>
      <w:r>
        <w:rPr>
          <w:rFonts w:hint="eastAsia"/>
        </w:rPr>
        <w:t>○　国の推計によると、高齢化の進展に伴い、団塊の世代が後期高齢期を迎える令和７年</w:t>
      </w:r>
      <w:r>
        <w:rPr>
          <w:rFonts w:hint="eastAsia"/>
        </w:rPr>
        <w:t>(2025</w:t>
      </w:r>
      <w:r>
        <w:rPr>
          <w:rFonts w:hint="eastAsia"/>
        </w:rPr>
        <w:t>年</w:t>
      </w:r>
      <w:r>
        <w:rPr>
          <w:rFonts w:hint="eastAsia"/>
        </w:rPr>
        <w:t>)</w:t>
      </w:r>
      <w:r>
        <w:rPr>
          <w:rFonts w:hint="eastAsia"/>
        </w:rPr>
        <w:t>には認知症の人は約</w:t>
      </w:r>
      <w:r>
        <w:rPr>
          <w:rFonts w:hint="eastAsia"/>
        </w:rPr>
        <w:t>700</w:t>
      </w:r>
      <w:r>
        <w:rPr>
          <w:rFonts w:hint="eastAsia"/>
        </w:rPr>
        <w:t>万人、</w:t>
      </w:r>
      <w:r>
        <w:rPr>
          <w:rFonts w:hint="eastAsia"/>
        </w:rPr>
        <w:t>65</w:t>
      </w:r>
      <w:r>
        <w:rPr>
          <w:rFonts w:hint="eastAsia"/>
        </w:rPr>
        <w:t>歳以上高齢者の約５人に１人に達すると見込まれています。本市でも高齢化の進行に伴い、認知症高齢者の増加が予測されます。</w:t>
      </w:r>
    </w:p>
    <w:p>
      <w:pPr>
        <w:pStyle w:val="0"/>
        <w:ind w:left="240" w:hanging="240" w:hangingChars="100"/>
        <w:jc w:val="both"/>
        <w:rPr>
          <w:rFonts w:hint="default"/>
          <w:b w:val="1"/>
        </w:rPr>
      </w:pPr>
      <w:r>
        <w:rPr>
          <w:rFonts w:hint="eastAsia"/>
        </w:rPr>
        <w:t>○　認知症の多くは生活習慣病が関わっているため、若い頃からの生活習慣病の発症予防と重症化予防が認知症発症年齢を遅らせることにつながります。高齢期では適度な運動、バランスの良い食事、人との関わり・コミュニケーション（社会参加）を更に行って認知症の発症予防を促すとともに、認知機能の低下がみられるかたは必要な医療、福祉サービスの利用につなげ、併せて認知症になっても住み慣れた地域で過ごせる支援体制の整備に努めます。</w:t>
      </w:r>
    </w:p>
    <w:p>
      <w:pPr>
        <w:pStyle w:val="0"/>
        <w:jc w:val="both"/>
        <w:rPr>
          <w:rFonts w:hint="default"/>
        </w:rPr>
      </w:pPr>
    </w:p>
    <w:p>
      <w:pPr>
        <w:pStyle w:val="4"/>
        <w:ind w:left="0" w:leftChars="0"/>
        <w:jc w:val="both"/>
        <w:rPr>
          <w:rFonts w:hint="default" w:ascii="ＭＳ ゴシック" w:hAnsi="ＭＳ ゴシック" w:eastAsia="ＭＳ ゴシック"/>
          <w:b w:val="0"/>
          <w:sz w:val="28"/>
        </w:rPr>
      </w:pPr>
      <w:bookmarkStart w:id="124" w:name="_Toc59007834"/>
      <w:r>
        <w:rPr>
          <w:rFonts w:hint="eastAsia" w:ascii="ＭＳ ゴシック" w:hAnsi="ＭＳ ゴシック" w:eastAsia="ＭＳ ゴシック"/>
          <w:b w:val="0"/>
          <w:sz w:val="28"/>
        </w:rPr>
        <w:t>（１）認知症予防と啓発の推進</w:t>
      </w:r>
      <w:bookmarkEnd w:id="124"/>
    </w:p>
    <w:p>
      <w:pPr>
        <w:pStyle w:val="5"/>
        <w:ind w:left="0" w:leftChars="0" w:firstLine="240" w:firstLineChars="100"/>
        <w:jc w:val="both"/>
        <w:rPr>
          <w:rFonts w:hint="default" w:ascii="ＭＳ ゴシック" w:hAnsi="ＭＳ ゴシック" w:eastAsia="ＭＳ ゴシック"/>
        </w:rPr>
      </w:pPr>
      <w:bookmarkStart w:id="125" w:name="_Toc59007835"/>
      <w:r>
        <w:rPr>
          <w:rFonts w:hint="eastAsia" w:ascii="ＭＳ ゴシック" w:hAnsi="ＭＳ ゴシック" w:eastAsia="ＭＳ ゴシック"/>
        </w:rPr>
        <w:t>ア）正しい知識の普及啓発・健康教育</w:t>
      </w:r>
      <w:bookmarkEnd w:id="125"/>
    </w:p>
    <w:p>
      <w:pPr>
        <w:pStyle w:val="0"/>
        <w:ind w:left="480" w:leftChars="100" w:hanging="240" w:hangingChars="100"/>
        <w:jc w:val="both"/>
        <w:rPr>
          <w:rFonts w:hint="default"/>
        </w:rPr>
      </w:pPr>
      <w:r>
        <w:rPr>
          <w:rFonts w:hint="eastAsia"/>
        </w:rPr>
        <w:t>○　認知症に関する正しい知識を得ることは、認知症の予防や早期に治療へつながる効果があるため、市の認知症地域支援推進員が中心となり、子ども達から高齢者まで幅広い世代に向けて、対象ごとの健康教育の実施、広報紙やホームページでの啓発など情報発信を積極的に行います。</w:t>
      </w:r>
    </w:p>
    <w:p>
      <w:pPr>
        <w:pStyle w:val="44"/>
        <w:ind w:left="516" w:leftChars="15" w:hanging="480" w:hangingChars="200"/>
        <w:rPr>
          <w:rFonts w:hint="default"/>
          <w:b w:val="0"/>
          <w:sz w:val="24"/>
        </w:rPr>
      </w:pPr>
      <w:r>
        <w:rPr>
          <w:rFonts w:hint="eastAsia"/>
          <w:b w:val="0"/>
          <w:sz w:val="24"/>
        </w:rPr>
        <w:t>　○　できるだけ早い段階から認知症を知り、理解を深めることが重要であるため、小・中・高等学校や大学等の地域の教育機関と連携し、子ども達に向けた普及啓発活動を行います。</w:t>
      </w:r>
    </w:p>
    <w:p>
      <w:pPr>
        <w:pStyle w:val="44"/>
        <w:ind w:left="516" w:leftChars="15" w:hanging="480" w:hangingChars="200"/>
        <w:rPr>
          <w:rFonts w:hint="default"/>
          <w:b w:val="0"/>
          <w:sz w:val="24"/>
        </w:rPr>
      </w:pPr>
    </w:p>
    <w:p>
      <w:pPr>
        <w:pStyle w:val="5"/>
        <w:ind w:left="0" w:leftChars="0" w:firstLine="240" w:firstLineChars="100"/>
        <w:jc w:val="both"/>
        <w:rPr>
          <w:rFonts w:hint="default" w:ascii="ＭＳ ゴシック" w:hAnsi="ＭＳ ゴシック" w:eastAsia="ＭＳ ゴシック"/>
        </w:rPr>
      </w:pPr>
      <w:bookmarkStart w:id="126" w:name="_Toc59007836"/>
      <w:r>
        <w:rPr>
          <w:rFonts w:hint="eastAsia" w:ascii="ＭＳ ゴシック" w:hAnsi="ＭＳ ゴシック" w:eastAsia="ＭＳ ゴシック"/>
        </w:rPr>
        <w:t>イ）生活習慣病対策</w:t>
      </w:r>
      <w:bookmarkEnd w:id="126"/>
    </w:p>
    <w:p>
      <w:pPr>
        <w:pStyle w:val="0"/>
        <w:ind w:left="480" w:leftChars="100" w:hanging="240" w:hangingChars="100"/>
        <w:jc w:val="both"/>
        <w:rPr>
          <w:rFonts w:hint="default"/>
        </w:rPr>
      </w:pPr>
      <w:r>
        <w:rPr>
          <w:rFonts w:hint="eastAsia"/>
        </w:rPr>
        <w:t>○　糖尿病は、アルツハイマー型認知症の合併が高頻度であり、また脳血管性認知症の発症とも関連があることから、成人期からの血糖コントロールを重要視し、健診の受診勧奨や個別相談が受けられる体制づくりを強化します。また、歯周病は血糖コントロールを悪化させたり、アルツハイマー型認知症のリスクを上昇させるという研究報告もあることから、生活習慣病と並行して歯科健診の勧奨等の歯周病対策を講じます。</w:t>
      </w:r>
    </w:p>
    <w:p>
      <w:pPr>
        <w:pStyle w:val="0"/>
        <w:ind w:left="481" w:leftChars="100" w:hanging="241" w:hangingChars="100"/>
        <w:jc w:val="both"/>
        <w:rPr>
          <w:rFonts w:hint="default"/>
          <w:b w:val="1"/>
        </w:rPr>
      </w:pPr>
    </w:p>
    <w:p>
      <w:pPr>
        <w:pStyle w:val="5"/>
        <w:ind w:left="0" w:leftChars="0" w:firstLine="240" w:firstLineChars="100"/>
        <w:jc w:val="both"/>
        <w:rPr>
          <w:rFonts w:hint="default" w:ascii="ＭＳ ゴシック" w:hAnsi="ＭＳ ゴシック" w:eastAsia="ＭＳ ゴシック"/>
        </w:rPr>
      </w:pPr>
      <w:bookmarkStart w:id="127" w:name="_Toc59007837"/>
      <w:r>
        <w:rPr>
          <w:rFonts w:hint="eastAsia" w:ascii="ＭＳ ゴシック" w:hAnsi="ＭＳ ゴシック" w:eastAsia="ＭＳ ゴシック"/>
        </w:rPr>
        <w:t>ウ）認知症予防推進員の養成</w:t>
      </w:r>
      <w:bookmarkEnd w:id="127"/>
    </w:p>
    <w:p>
      <w:pPr>
        <w:pStyle w:val="0"/>
        <w:ind w:left="480" w:leftChars="100" w:hanging="240" w:hangingChars="100"/>
        <w:jc w:val="both"/>
        <w:rPr>
          <w:rFonts w:hint="default"/>
        </w:rPr>
      </w:pPr>
      <w:r>
        <w:rPr>
          <w:rFonts w:hint="eastAsia"/>
        </w:rPr>
        <w:t>○　街かどデイハウスや高齢者ふれあいいきいきサロン等、地域の通いの場で認知症予　防と啓発の役割を担う「認知症予防推進員」を養成します。</w:t>
      </w:r>
    </w:p>
    <w:p>
      <w:pPr>
        <w:pStyle w:val="0"/>
        <w:ind w:left="480" w:leftChars="100" w:hanging="240" w:hangingChars="100"/>
        <w:jc w:val="both"/>
        <w:rPr>
          <w:rFonts w:hint="default"/>
        </w:rPr>
      </w:pPr>
    </w:p>
    <w:p>
      <w:pPr>
        <w:pStyle w:val="0"/>
        <w:jc w:val="both"/>
        <w:rPr>
          <w:rFonts w:hint="default" w:ascii="ＭＳ ゴシック" w:hAnsi="ＭＳ ゴシック" w:eastAsia="ＭＳ ゴシック"/>
        </w:rPr>
      </w:pPr>
      <w:r>
        <w:rPr>
          <w:rFonts w:hint="eastAsia"/>
        </w:rPr>
        <w:t>　</w:t>
      </w:r>
      <w:r>
        <w:rPr>
          <w:rFonts w:hint="eastAsia" w:ascii="ＭＳ ゴシック" w:hAnsi="ＭＳ ゴシック" w:eastAsia="ＭＳ ゴシック"/>
        </w:rPr>
        <w:t>エ）認知症予防自主グループへの支援</w:t>
      </w:r>
    </w:p>
    <w:p>
      <w:pPr>
        <w:pStyle w:val="0"/>
        <w:ind w:firstLine="240" w:firstLineChars="100"/>
        <w:jc w:val="both"/>
        <w:rPr>
          <w:rFonts w:hint="default"/>
        </w:rPr>
      </w:pPr>
      <w:r>
        <w:rPr>
          <w:rFonts w:hint="eastAsia"/>
        </w:rPr>
        <w:t>○　認知症予防自主グループの立ち上げや継続活動を支援します。</w:t>
      </w:r>
    </w:p>
    <w:p>
      <w:pPr>
        <w:pStyle w:val="0"/>
        <w:rPr>
          <w:rFonts w:hint="default"/>
        </w:rPr>
      </w:pPr>
    </w:p>
    <w:p>
      <w:pPr>
        <w:pStyle w:val="0"/>
        <w:rPr>
          <w:rFonts w:hint="default"/>
        </w:rPr>
      </w:pPr>
    </w:p>
    <w:p>
      <w:pPr>
        <w:pStyle w:val="4"/>
        <w:ind w:left="0" w:leftChars="0"/>
        <w:jc w:val="both"/>
        <w:rPr>
          <w:rFonts w:hint="default" w:ascii="ＭＳ ゴシック" w:hAnsi="ＭＳ ゴシック" w:eastAsia="ＭＳ ゴシック"/>
          <w:b w:val="0"/>
          <w:sz w:val="28"/>
        </w:rPr>
      </w:pPr>
      <w:bookmarkStart w:id="128" w:name="_Toc59007838"/>
      <w:r>
        <w:rPr>
          <w:rFonts w:hint="eastAsia" w:ascii="ＭＳ ゴシック" w:hAnsi="ＭＳ ゴシック" w:eastAsia="ＭＳ ゴシック"/>
          <w:b w:val="0"/>
          <w:sz w:val="28"/>
        </w:rPr>
        <w:t>（２）認知症の早期発見・早期対応の推進</w:t>
      </w:r>
      <w:bookmarkEnd w:id="128"/>
    </w:p>
    <w:p>
      <w:pPr>
        <w:pStyle w:val="5"/>
        <w:ind w:left="0" w:leftChars="0" w:firstLine="240" w:firstLineChars="100"/>
        <w:jc w:val="both"/>
        <w:rPr>
          <w:rFonts w:hint="default" w:ascii="ＭＳ ゴシック" w:hAnsi="ＭＳ ゴシック" w:eastAsia="ＭＳ ゴシック"/>
        </w:rPr>
      </w:pPr>
      <w:bookmarkStart w:id="129" w:name="_Toc59007839"/>
      <w:r>
        <w:rPr>
          <w:rFonts w:hint="eastAsia" w:ascii="ＭＳ ゴシック" w:hAnsi="ＭＳ ゴシック" w:eastAsia="ＭＳ ゴシック"/>
        </w:rPr>
        <w:t>ア）早期発見</w:t>
      </w:r>
      <w:bookmarkEnd w:id="129"/>
    </w:p>
    <w:p>
      <w:pPr>
        <w:pStyle w:val="44"/>
        <w:ind w:left="480" w:hanging="240" w:hangingChars="100"/>
        <w:rPr>
          <w:rFonts w:hint="default"/>
          <w:b w:val="0"/>
          <w:sz w:val="24"/>
        </w:rPr>
      </w:pPr>
      <w:r>
        <w:rPr>
          <w:rFonts w:hint="eastAsia"/>
          <w:b w:val="0"/>
          <w:sz w:val="24"/>
          <w:shd w:val="clear" w:color="auto" w:themeFill="background1" w:themeFillTint="FF" w:themeFillShade="FF"/>
        </w:rPr>
        <w:t>○</w:t>
      </w:r>
      <w:r>
        <w:rPr>
          <w:rFonts w:hint="eastAsia"/>
          <w:b w:val="0"/>
          <w:sz w:val="24"/>
        </w:rPr>
        <w:t>　軽度認知障害（ＭＣＩ）</w:t>
      </w:r>
      <w:r>
        <w:rPr>
          <w:rFonts w:hint="eastAsia"/>
          <w:b w:val="0"/>
          <w:sz w:val="24"/>
          <w:vertAlign w:val="superscript"/>
        </w:rPr>
        <w:t>※</w:t>
      </w:r>
      <w:r>
        <w:rPr>
          <w:rStyle w:val="42"/>
          <w:rFonts w:hint="eastAsia"/>
          <w:b w:val="0"/>
          <w:sz w:val="24"/>
        </w:rPr>
        <w:footnoteReference w:id="16"/>
      </w:r>
      <w:r>
        <w:rPr>
          <w:rFonts w:hint="eastAsia"/>
          <w:b w:val="0"/>
          <w:sz w:val="24"/>
        </w:rPr>
        <w:t>や軽度の認知症の場合は、早期に対応すれば認知症の進行を抑えられる可能性があるため、認知機能低下サインへの気づきを促すことができるよう努めます。</w:t>
      </w:r>
    </w:p>
    <w:p>
      <w:pPr>
        <w:pStyle w:val="44"/>
        <w:ind w:left="480" w:hanging="240" w:hangingChars="100"/>
        <w:rPr>
          <w:rFonts w:hint="default"/>
          <w:b w:val="0"/>
          <w:sz w:val="24"/>
        </w:rPr>
      </w:pPr>
      <w:r>
        <w:rPr>
          <w:rFonts w:hint="eastAsia"/>
          <w:b w:val="0"/>
          <w:sz w:val="24"/>
        </w:rPr>
        <w:t>○　箕面市版認知症ケアパス</w:t>
      </w:r>
      <w:r>
        <w:rPr>
          <w:rFonts w:hint="eastAsia"/>
          <w:b w:val="0"/>
          <w:sz w:val="24"/>
          <w:vertAlign w:val="superscript"/>
        </w:rPr>
        <w:t>※</w:t>
      </w:r>
      <w:r>
        <w:rPr>
          <w:rStyle w:val="42"/>
          <w:rFonts w:hint="eastAsia"/>
          <w:b w:val="0"/>
          <w:sz w:val="24"/>
        </w:rPr>
        <w:footnoteReference w:id="17"/>
      </w:r>
      <w:r>
        <w:rPr>
          <w:rFonts w:hint="eastAsia"/>
          <w:b w:val="0"/>
          <w:sz w:val="24"/>
        </w:rPr>
        <w:t>「認知症安心ガイド」の改訂及び普及啓発、市内各所にタブレットを設置し認知機能セルフチェックの推進、通いの場での簡易測定実施等により、認知症の早期発見ができるよう努めます。</w:t>
      </w:r>
    </w:p>
    <w:p>
      <w:pPr>
        <w:pStyle w:val="44"/>
        <w:ind w:left="626" w:firstLineChars="0"/>
        <w:rPr>
          <w:rFonts w:hint="default"/>
          <w:b w:val="0"/>
          <w:sz w:val="24"/>
        </w:rPr>
      </w:pPr>
    </w:p>
    <w:p>
      <w:pPr>
        <w:pStyle w:val="5"/>
        <w:ind w:left="0" w:leftChars="0" w:firstLine="240" w:firstLineChars="100"/>
        <w:jc w:val="both"/>
        <w:rPr>
          <w:rFonts w:hint="default" w:ascii="ＭＳ ゴシック" w:hAnsi="ＭＳ ゴシック" w:eastAsia="ＭＳ ゴシック"/>
        </w:rPr>
      </w:pPr>
      <w:bookmarkStart w:id="130" w:name="_Toc59007840"/>
      <w:r>
        <w:rPr>
          <w:rFonts w:hint="eastAsia" w:ascii="ＭＳ ゴシック" w:hAnsi="ＭＳ ゴシック" w:eastAsia="ＭＳ ゴシック"/>
        </w:rPr>
        <w:t>イ）早期対応</w:t>
      </w:r>
      <w:bookmarkEnd w:id="130"/>
    </w:p>
    <w:p>
      <w:pPr>
        <w:pStyle w:val="44"/>
        <w:ind w:left="480" w:hanging="240" w:hangingChars="100"/>
        <w:rPr>
          <w:rFonts w:hint="default"/>
          <w:b w:val="0"/>
          <w:sz w:val="24"/>
        </w:rPr>
      </w:pPr>
      <w:r>
        <w:rPr>
          <w:rFonts w:hint="eastAsia"/>
          <w:b w:val="0"/>
          <w:sz w:val="24"/>
        </w:rPr>
        <w:t>○　認知症の疑いがあると判断されたかたには、「認知症安心ガイド」や箕面市医師会が発行している「みのお認知症相談マップ」を活用し、医療機関への受診勧奨を行います。</w:t>
      </w:r>
    </w:p>
    <w:p>
      <w:pPr>
        <w:pStyle w:val="44"/>
        <w:ind w:left="480" w:hanging="240" w:hangingChars="100"/>
        <w:rPr>
          <w:rFonts w:hint="default"/>
          <w:b w:val="0"/>
          <w:sz w:val="24"/>
        </w:rPr>
      </w:pPr>
      <w:r>
        <w:rPr>
          <w:rFonts w:hint="eastAsia"/>
          <w:b w:val="0"/>
          <w:sz w:val="24"/>
        </w:rPr>
        <w:t>○　認知症状の状態に応じたサービス利用を促すため、地域包括支援センターへの相談につなげます。</w:t>
      </w:r>
    </w:p>
    <w:p>
      <w:pPr>
        <w:pStyle w:val="44"/>
        <w:ind w:left="626" w:firstLineChars="0"/>
        <w:rPr>
          <w:rFonts w:hint="default"/>
          <w:b w:val="0"/>
          <w:sz w:val="24"/>
        </w:rPr>
      </w:pPr>
    </w:p>
    <w:p>
      <w:pPr>
        <w:pStyle w:val="5"/>
        <w:ind w:left="0" w:leftChars="0" w:firstLine="240" w:firstLineChars="100"/>
        <w:jc w:val="both"/>
        <w:rPr>
          <w:rFonts w:hint="default" w:ascii="ＭＳ ゴシック" w:hAnsi="ＭＳ ゴシック" w:eastAsia="ＭＳ ゴシック"/>
        </w:rPr>
      </w:pPr>
      <w:bookmarkStart w:id="131" w:name="_Toc59007841"/>
      <w:r>
        <w:rPr>
          <w:rFonts w:hint="eastAsia" w:ascii="ＭＳ ゴシック" w:hAnsi="ＭＳ ゴシック" w:eastAsia="ＭＳ ゴシック"/>
        </w:rPr>
        <w:t>ウ）認知症初期集中支援チームによる支</w:t>
      </w:r>
      <w:r>
        <w:rPr>
          <w:rFonts w:hint="eastAsia" w:ascii="ＭＳ ゴシック" w:hAnsi="ＭＳ ゴシック" w:eastAsia="ＭＳ ゴシック"/>
          <w:color w:val="000000" w:themeColor="text1"/>
        </w:rPr>
        <w:t>援</w:t>
      </w:r>
      <w:r>
        <w:rPr>
          <w:rFonts w:hint="eastAsia" w:ascii="ＭＳ 明朝" w:hAnsi="ＭＳ 明朝" w:eastAsia="ＭＳ 明朝"/>
          <w:color w:val="000000" w:themeColor="text1"/>
        </w:rPr>
        <w:t>（図表</w:t>
      </w:r>
      <w:r>
        <w:rPr>
          <w:rFonts w:hint="eastAsia" w:ascii="ＭＳ 明朝" w:hAnsi="ＭＳ 明朝" w:eastAsia="ＭＳ 明朝"/>
          <w:color w:val="000000" w:themeColor="text1"/>
        </w:rPr>
        <w:t>93</w:t>
      </w:r>
      <w:r>
        <w:rPr>
          <w:rFonts w:hint="eastAsia" w:ascii="ＭＳ 明朝" w:hAnsi="ＭＳ 明朝" w:eastAsia="ＭＳ 明朝"/>
          <w:color w:val="000000" w:themeColor="text1"/>
        </w:rPr>
        <w:t>参照）</w:t>
      </w:r>
      <w:bookmarkEnd w:id="131"/>
    </w:p>
    <w:p>
      <w:pPr>
        <w:pStyle w:val="44"/>
        <w:ind w:left="571" w:leftChars="138" w:hanging="240" w:hangingChars="100"/>
        <w:rPr>
          <w:rFonts w:hint="default"/>
          <w:b w:val="0"/>
          <w:color w:val="000000" w:themeColor="text1"/>
          <w:sz w:val="24"/>
        </w:rPr>
      </w:pPr>
      <w:r>
        <w:rPr>
          <w:rFonts w:hint="eastAsia"/>
          <w:b w:val="0"/>
          <w:color w:val="000000" w:themeColor="text1"/>
          <w:sz w:val="24"/>
        </w:rPr>
        <w:t>○　医師と保健師等で構成する認知症初期集中支援チームにより、医療・介護サービスにつながっていない認知症高齢者等とその家族に対し、適切かつ必要なサービスが受けられるよう医療機関への受診勧奨や同行受診など、積極的に支援を行います。</w:t>
      </w:r>
    </w:p>
    <w:p>
      <w:pPr>
        <w:pStyle w:val="44"/>
        <w:ind w:left="578" w:leftChars="141" w:hanging="240" w:hangingChars="100"/>
        <w:rPr>
          <w:rFonts w:hint="default"/>
          <w:b w:val="0"/>
          <w:color w:val="000000" w:themeColor="text1"/>
          <w:sz w:val="24"/>
        </w:rPr>
      </w:pPr>
      <w:r>
        <w:rPr>
          <w:rFonts w:hint="eastAsia"/>
          <w:b w:val="0"/>
          <w:color w:val="000000" w:themeColor="text1"/>
          <w:sz w:val="24"/>
        </w:rPr>
        <w:t>○　地域の医療機関と連携し、地域包括支援センター、介護サービス事業者などの相談に応じ、必要な指導助言等の支援をするとともに、毎月チームでの情報共有を行い、困難事案の検証や支援方針のありかた等を検討します。</w:t>
      </w: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578" w:leftChars="141" w:hanging="240" w:hangingChars="100"/>
        <w:rPr>
          <w:rFonts w:hint="default"/>
          <w:b w:val="0"/>
          <w:color w:val="000000" w:themeColor="text1"/>
          <w:sz w:val="24"/>
        </w:rPr>
      </w:pPr>
    </w:p>
    <w:p>
      <w:pPr>
        <w:pStyle w:val="44"/>
        <w:ind w:left="338" w:leftChars="141" w:firstLine="0" w:firstLineChars="0"/>
        <w:rPr>
          <w:rFonts w:hint="default"/>
          <w:b w:val="0"/>
          <w:color w:val="000000" w:themeColor="text1"/>
          <w:sz w:val="24"/>
        </w:rPr>
      </w:pPr>
    </w:p>
    <w:p>
      <w:pPr>
        <w:pStyle w:val="0"/>
        <w:ind w:left="630" w:hanging="630" w:hangingChars="300"/>
        <w:jc w:val="center"/>
        <w:rPr>
          <w:rFonts w:hint="default" w:ascii="ＭＳ ゴシック" w:hAnsi="ＭＳ ゴシック" w:eastAsia="ＭＳ ゴシック"/>
          <w:sz w:val="21"/>
        </w:rPr>
      </w:pPr>
      <w:r>
        <w:rPr>
          <w:rFonts w:hint="eastAsia" w:ascii="ＭＳ ゴシック" w:hAnsi="ＭＳ ゴシック" w:eastAsia="ＭＳ ゴシック"/>
          <w:sz w:val="21"/>
        </w:rPr>
        <w:t>図表</w:t>
      </w:r>
      <w:r>
        <w:rPr>
          <w:rFonts w:hint="eastAsia" w:ascii="ＭＳ ゴシック" w:hAnsi="ＭＳ ゴシック" w:eastAsia="ＭＳ ゴシック"/>
          <w:sz w:val="21"/>
        </w:rPr>
        <w:t>93</w:t>
      </w:r>
      <w:r>
        <w:rPr>
          <w:rFonts w:hint="default" w:ascii="ＭＳ ゴシック" w:hAnsi="ＭＳ ゴシック" w:eastAsia="ＭＳ ゴシック"/>
          <w:sz w:val="21"/>
        </w:rPr>
        <w:t>：</w:t>
      </w:r>
      <w:r>
        <w:rPr>
          <w:rFonts w:hint="eastAsia" w:ascii="ＭＳ ゴシック" w:hAnsi="ＭＳ ゴシック" w:eastAsia="ＭＳ ゴシック"/>
          <w:sz w:val="21"/>
        </w:rPr>
        <w:t>認知症初期集中支援チーム</w:t>
      </w:r>
      <w:r>
        <w:rPr>
          <w:rFonts w:hint="eastAsia" w:ascii="ＭＳ ゴシック" w:hAnsi="ＭＳ ゴシック" w:eastAsia="ＭＳ ゴシック"/>
          <w:color w:val="000000" w:themeColor="text1"/>
          <w:sz w:val="21"/>
        </w:rPr>
        <w:t>による支援</w:t>
      </w:r>
    </w:p>
    <w:p>
      <w:pPr>
        <w:pStyle w:val="0"/>
        <w:ind w:left="720" w:hanging="720" w:hangingChars="300"/>
        <w:jc w:val="center"/>
        <w:rPr>
          <w:rFonts w:hint="default"/>
        </w:rPr>
      </w:pPr>
      <w:r>
        <w:rPr>
          <w:rFonts w:hint="default"/>
        </w:rPr>
        <w:drawing>
          <wp:inline distT="0" distB="0" distL="0" distR="0">
            <wp:extent cx="6188710" cy="4764405"/>
            <wp:effectExtent l="0" t="0" r="0" b="0"/>
            <wp:docPr id="1291" name="オブジェクト 0"/>
            <a:graphic xmlns:a="http://schemas.openxmlformats.org/drawingml/2006/main">
              <a:graphicData uri="http://schemas.openxmlformats.org/drawingml/2006/picture">
                <pic:pic xmlns:pic="http://schemas.openxmlformats.org/drawingml/2006/picture">
                  <pic:nvPicPr>
                    <pic:cNvPr id="1291" name="オブジェクト 0"/>
                    <pic:cNvPicPr/>
                  </pic:nvPicPr>
                  <pic:blipFill>
                    <a:blip r:embed="rId102"/>
                    <a:stretch>
                      <a:fillRect/>
                    </a:stretch>
                  </pic:blipFill>
                  <pic:spPr>
                    <a:xfrm>
                      <a:off x="0" y="0"/>
                      <a:ext cx="6188710" cy="4764405"/>
                    </a:xfrm>
                    <a:prstGeom prst="rect">
                      <a:avLst/>
                    </a:prstGeom>
                  </pic:spPr>
                </pic:pic>
              </a:graphicData>
            </a:graphic>
          </wp:inline>
        </w:drawing>
      </w:r>
    </w:p>
    <w:p>
      <w:pPr>
        <w:pStyle w:val="44"/>
        <w:ind w:left="60" w:leftChars="25" w:firstLine="0" w:firstLineChars="0"/>
        <w:rPr>
          <w:rFonts w:hint="default"/>
          <w:b w:val="0"/>
          <w:color w:val="C00000"/>
        </w:rPr>
      </w:pPr>
    </w:p>
    <w:p>
      <w:pPr>
        <w:pStyle w:val="4"/>
        <w:ind w:left="0" w:leftChars="0"/>
        <w:jc w:val="both"/>
        <w:rPr>
          <w:rFonts w:hint="default" w:ascii="ＭＳ ゴシック" w:hAnsi="ＭＳ ゴシック" w:eastAsia="ＭＳ ゴシック"/>
          <w:b w:val="0"/>
          <w:sz w:val="28"/>
        </w:rPr>
      </w:pPr>
      <w:bookmarkStart w:id="132" w:name="_Toc59007842"/>
      <w:r>
        <w:rPr>
          <w:rFonts w:hint="eastAsia" w:ascii="ＭＳ ゴシック" w:hAnsi="ＭＳ ゴシック" w:eastAsia="ＭＳ ゴシック"/>
          <w:b w:val="0"/>
          <w:sz w:val="28"/>
        </w:rPr>
        <w:t>（３）認知症高齢者の見守り・支援体制の強化</w:t>
      </w:r>
      <w:bookmarkEnd w:id="132"/>
    </w:p>
    <w:p>
      <w:pPr>
        <w:pStyle w:val="5"/>
        <w:ind w:left="0" w:leftChars="0" w:firstLine="240" w:firstLineChars="100"/>
        <w:jc w:val="both"/>
        <w:rPr>
          <w:rFonts w:hint="default" w:ascii="ＭＳ ゴシック" w:hAnsi="ＭＳ ゴシック" w:eastAsia="ＭＳ ゴシック"/>
        </w:rPr>
      </w:pPr>
      <w:bookmarkStart w:id="133" w:name="_Toc59007843"/>
      <w:r>
        <w:rPr>
          <w:rFonts w:hint="eastAsia" w:ascii="ＭＳ ゴシック" w:hAnsi="ＭＳ ゴシック" w:eastAsia="ＭＳ ゴシック"/>
        </w:rPr>
        <w:t>ア）ひとり歩き・行方不明対策</w:t>
      </w:r>
      <w:bookmarkEnd w:id="133"/>
    </w:p>
    <w:p>
      <w:pPr>
        <w:pStyle w:val="0"/>
        <w:ind w:left="480" w:leftChars="100" w:hanging="240" w:hangingChars="100"/>
        <w:jc w:val="both"/>
        <w:rPr>
          <w:rFonts w:hint="default"/>
        </w:rPr>
      </w:pPr>
      <w:r>
        <w:rPr>
          <w:rFonts w:hint="eastAsia"/>
        </w:rPr>
        <w:t>○　本市では、認知症高齢者等が行方不明になった場合を想定して、「みのお行方不明者ＳＯＳネット」及び「市民安全メール」が整備されており、今後も引き続き事前登録の周知・勧奨を行います。「市民安全メール」については、行方不明者の早期発見に向け、広く市民に周知を進める必要があることから、ホームページや認知症関連の講座等の機会等を活用するとともに、地域包括支援センターや介護保険事業所との連携により、登録者の拡大に努めます。</w:t>
      </w:r>
    </w:p>
    <w:p>
      <w:pPr>
        <w:pStyle w:val="0"/>
        <w:ind w:left="480" w:leftChars="100" w:hanging="240" w:hangingChars="100"/>
        <w:jc w:val="both"/>
        <w:rPr>
          <w:rFonts w:hint="default"/>
          <w:color w:val="000000" w:themeColor="text1"/>
        </w:rPr>
      </w:pPr>
      <w:r>
        <w:rPr>
          <w:rFonts w:hint="eastAsia"/>
          <w:color w:val="000000" w:themeColor="text1"/>
        </w:rPr>
        <w:t>○　高齢者見守りサービス</w:t>
      </w:r>
      <w:r>
        <w:rPr>
          <w:rFonts w:hint="eastAsia"/>
          <w:color w:val="000000"/>
        </w:rPr>
        <w:t>otta</w:t>
      </w:r>
      <w:r>
        <w:rPr>
          <w:rFonts w:hint="eastAsia"/>
          <w:color w:val="000000" w:themeColor="text1"/>
        </w:rPr>
        <w:t>の利用促進と</w:t>
      </w:r>
      <w:r>
        <w:rPr>
          <w:rFonts w:hint="eastAsia"/>
          <w:color w:val="000000" w:themeColor="text1"/>
        </w:rPr>
        <w:t>otta</w:t>
      </w:r>
      <w:r>
        <w:rPr>
          <w:rFonts w:hint="eastAsia"/>
          <w:color w:val="000000" w:themeColor="text1"/>
        </w:rPr>
        <w:t>の検知器となるアプリをインストールした見守り人の協力拡大を図り、高齢者の見守りの網をより細かくします。</w:t>
      </w:r>
    </w:p>
    <w:p>
      <w:pPr>
        <w:pStyle w:val="0"/>
        <w:ind w:left="480" w:leftChars="100" w:hanging="240" w:hangingChars="100"/>
        <w:jc w:val="both"/>
        <w:rPr>
          <w:rFonts w:hint="default"/>
          <w:color w:val="000000" w:themeColor="text1"/>
        </w:rPr>
      </w:pPr>
      <w:r>
        <w:rPr>
          <w:rFonts w:hint="eastAsia"/>
          <w:color w:val="000000" w:themeColor="text1"/>
        </w:rPr>
        <w:t>○　認知症のかたへの接し方や声かけの方法など、実践的な見守りができることを目的とした、「認知症高齢者等への声かけ訓練」をすべての小学校区で実施し、認知症のかたに対する適切な接し方の理解の促進を図ります。</w:t>
      </w:r>
    </w:p>
    <w:p>
      <w:pPr>
        <w:pStyle w:val="5"/>
        <w:ind w:left="0" w:leftChars="0" w:firstLine="240" w:firstLineChars="100"/>
        <w:jc w:val="both"/>
        <w:rPr>
          <w:rFonts w:hint="default" w:ascii="ＭＳ ゴシック" w:hAnsi="ＭＳ ゴシック" w:eastAsia="ＭＳ ゴシック"/>
        </w:rPr>
      </w:pPr>
      <w:bookmarkStart w:id="134" w:name="_Toc59007844"/>
      <w:r>
        <w:rPr>
          <w:rFonts w:hint="eastAsia" w:ascii="ＭＳ ゴシック" w:hAnsi="ＭＳ ゴシック" w:eastAsia="ＭＳ ゴシック"/>
        </w:rPr>
        <w:t>イ）認知症サポーターの養成・活用</w:t>
      </w:r>
      <w:bookmarkEnd w:id="134"/>
    </w:p>
    <w:p>
      <w:pPr>
        <w:pStyle w:val="0"/>
        <w:ind w:left="480" w:leftChars="100" w:hanging="240" w:hangingChars="100"/>
        <w:jc w:val="both"/>
        <w:rPr>
          <w:rFonts w:hint="default"/>
          <w:color w:val="000000" w:themeColor="text1"/>
        </w:rPr>
      </w:pPr>
      <w:r>
        <w:rPr>
          <w:rFonts w:hint="eastAsia"/>
          <w:color w:val="000000" w:themeColor="text1"/>
        </w:rPr>
        <w:t>○　地域で見守るかたを増やすため、「認知症サポーター」の養成と、認知症サポーターを養成する講師となる「認知症キャラバン・メイト」の養成を引き続き実施します。</w:t>
      </w:r>
    </w:p>
    <w:p>
      <w:pPr>
        <w:pStyle w:val="0"/>
        <w:ind w:left="480" w:leftChars="100" w:hanging="240" w:hangingChars="100"/>
        <w:jc w:val="both"/>
        <w:rPr>
          <w:rFonts w:hint="default"/>
          <w:color w:val="000000" w:themeColor="text1"/>
        </w:rPr>
      </w:pPr>
      <w:r>
        <w:rPr>
          <w:rFonts w:hint="eastAsia"/>
          <w:color w:val="000000" w:themeColor="text1"/>
        </w:rPr>
        <w:t>○　地域で暮らす認知症のかたや家族の困りごとの支援ニーズに認知症サポーターが関</w:t>
      </w:r>
      <w:r>
        <w:rPr>
          <w:rFonts w:hint="eastAsia"/>
        </w:rPr>
        <w:t>わる新たな仕組み（チームオレンジ）の構築を検討し、地域</w:t>
      </w:r>
      <w:r>
        <w:rPr>
          <w:rFonts w:hint="eastAsia"/>
          <w:color w:val="000000" w:themeColor="text1"/>
        </w:rPr>
        <w:t>で見守る体制を強化します。</w:t>
      </w:r>
    </w:p>
    <w:p>
      <w:pPr>
        <w:pStyle w:val="44"/>
        <w:ind w:left="626" w:firstLineChars="0"/>
        <w:rPr>
          <w:rFonts w:hint="default"/>
          <w:b w:val="0"/>
          <w:sz w:val="24"/>
        </w:rPr>
      </w:pPr>
    </w:p>
    <w:p>
      <w:pPr>
        <w:pStyle w:val="5"/>
        <w:ind w:left="0" w:leftChars="0" w:firstLine="240" w:firstLineChars="100"/>
        <w:jc w:val="both"/>
        <w:rPr>
          <w:rFonts w:hint="default" w:ascii="ＭＳ ゴシック" w:hAnsi="ＭＳ ゴシック" w:eastAsia="ＭＳ ゴシック"/>
        </w:rPr>
      </w:pPr>
      <w:bookmarkStart w:id="135" w:name="_Toc59007845"/>
      <w:r>
        <w:rPr>
          <w:rFonts w:hint="eastAsia" w:ascii="ＭＳ ゴシック" w:hAnsi="ＭＳ ゴシック" w:eastAsia="ＭＳ ゴシック"/>
        </w:rPr>
        <w:t>ウ）認知症のかたの交流場所の確保</w:t>
      </w:r>
      <w:bookmarkEnd w:id="135"/>
    </w:p>
    <w:p>
      <w:pPr>
        <w:pStyle w:val="0"/>
        <w:ind w:left="480" w:leftChars="100" w:hanging="240" w:hangingChars="100"/>
        <w:jc w:val="both"/>
        <w:rPr>
          <w:rFonts w:hint="default"/>
        </w:rPr>
      </w:pPr>
      <w:r>
        <w:rPr>
          <w:rFonts w:hint="eastAsia"/>
        </w:rPr>
        <w:t>○　認知症高齢者等と家族が気軽に外出できるように、認知症カフェやコミュニティカフェの小学校区ごとの設置をめざします。また、既存のカフェに対しては、月１回以上の定期開催ができるように支援に努めます。</w:t>
      </w:r>
    </w:p>
    <w:p>
      <w:pPr>
        <w:pStyle w:val="0"/>
        <w:ind w:left="240" w:hanging="240" w:hangingChars="100"/>
        <w:jc w:val="both"/>
        <w:rPr>
          <w:rFonts w:hint="default"/>
          <w:b w:val="1"/>
        </w:rPr>
      </w:pPr>
      <w:r>
        <w:rPr>
          <w:rFonts w:hint="eastAsia"/>
        </w:rPr>
        <w:t>　</w:t>
      </w:r>
    </w:p>
    <w:p>
      <w:pPr>
        <w:pStyle w:val="5"/>
        <w:ind w:left="0" w:leftChars="0" w:firstLine="240" w:firstLineChars="100"/>
        <w:jc w:val="both"/>
        <w:rPr>
          <w:rFonts w:hint="default" w:ascii="ＭＳ ゴシック" w:hAnsi="ＭＳ ゴシック" w:eastAsia="ＭＳ ゴシック"/>
        </w:rPr>
      </w:pPr>
      <w:bookmarkStart w:id="136" w:name="_Toc59007846"/>
      <w:r>
        <w:rPr>
          <w:rFonts w:hint="eastAsia" w:ascii="ＭＳ ゴシック" w:hAnsi="ＭＳ ゴシック" w:eastAsia="ＭＳ ゴシック"/>
        </w:rPr>
        <w:t>エ）</w:t>
      </w:r>
      <w:r>
        <w:rPr>
          <w:rFonts w:hint="eastAsia" w:ascii="ＭＳ ゴシック" w:hAnsi="ＭＳ ゴシック" w:eastAsia="ＭＳ ゴシック"/>
          <w:color w:val="000000" w:themeColor="text1"/>
        </w:rPr>
        <w:t>認知症のかたの本人発信支援</w:t>
      </w:r>
      <w:bookmarkEnd w:id="136"/>
    </w:p>
    <w:p>
      <w:pPr>
        <w:pStyle w:val="0"/>
        <w:ind w:left="480" w:hanging="480" w:hangingChars="200"/>
        <w:jc w:val="both"/>
        <w:rPr>
          <w:rFonts w:hint="default"/>
          <w:color w:val="000000" w:themeColor="text1"/>
        </w:rPr>
      </w:pPr>
      <w:r>
        <w:rPr>
          <w:rFonts w:hint="eastAsia"/>
          <w:color w:val="000000" w:themeColor="text1"/>
        </w:rPr>
        <w:t>　○　認知症のかたが本当に必要とする地域のありかたや支援のよりよいありかたを考えるために、本人からの気づきや意見等についての発信を支援します。</w:t>
      </w:r>
    </w:p>
    <w:p>
      <w:pPr>
        <w:pStyle w:val="0"/>
        <w:ind w:left="240" w:hanging="240" w:hangingChars="100"/>
        <w:jc w:val="both"/>
        <w:rPr>
          <w:rFonts w:hint="default"/>
          <w:color w:val="000000" w:themeColor="text1"/>
        </w:rPr>
      </w:pPr>
    </w:p>
    <w:p>
      <w:pPr>
        <w:pStyle w:val="5"/>
        <w:ind w:left="0" w:leftChars="0" w:firstLine="240" w:firstLineChars="100"/>
        <w:jc w:val="both"/>
        <w:rPr>
          <w:rFonts w:hint="default" w:ascii="ＭＳ ゴシック" w:hAnsi="ＭＳ ゴシック" w:eastAsia="ＭＳ ゴシック"/>
          <w:color w:val="000000" w:themeColor="text1"/>
        </w:rPr>
      </w:pPr>
      <w:bookmarkStart w:id="137" w:name="_Toc59007847"/>
      <w:r>
        <w:rPr>
          <w:rFonts w:hint="eastAsia" w:ascii="ＭＳ ゴシック" w:hAnsi="ＭＳ ゴシック" w:eastAsia="ＭＳ ゴシック"/>
          <w:color w:val="000000" w:themeColor="text1"/>
        </w:rPr>
        <w:t>オ）家族介護者支援</w:t>
      </w:r>
      <w:bookmarkEnd w:id="137"/>
    </w:p>
    <w:p>
      <w:pPr>
        <w:pStyle w:val="0"/>
        <w:ind w:left="480" w:leftChars="100" w:hanging="240" w:hangingChars="100"/>
        <w:jc w:val="both"/>
        <w:rPr>
          <w:rFonts w:hint="default"/>
          <w:color w:val="000000" w:themeColor="text1"/>
        </w:rPr>
      </w:pPr>
      <w:r>
        <w:rPr>
          <w:rFonts w:hint="eastAsia"/>
          <w:color w:val="000000" w:themeColor="text1"/>
        </w:rPr>
        <w:t>○　男性介護者のつどいやびわの会などの認知症の家族会に対し、引き続き支援を行います。</w:t>
      </w:r>
    </w:p>
    <w:p>
      <w:pPr>
        <w:pStyle w:val="0"/>
        <w:rPr>
          <w:rFonts w:hint="default"/>
        </w:rPr>
      </w:pPr>
    </w:p>
    <w:p>
      <w:pPr>
        <w:pStyle w:val="0"/>
        <w:rPr>
          <w:rFonts w:hint="default"/>
        </w:rPr>
      </w:pPr>
    </w:p>
    <w:p>
      <w:pPr>
        <w:pStyle w:val="0"/>
        <w:rPr>
          <w:rFonts w:hint="default"/>
        </w:rPr>
      </w:pPr>
    </w:p>
    <w:p>
      <w:pPr>
        <w:rPr>
          <w:rFonts w:hint="default" w:ascii="メイリオ" w:hAnsi="メイリオ" w:eastAsia="メイリオ"/>
          <w:b w:val="1"/>
          <w:sz w:val="32"/>
          <w:u w:val="single" w:color="auto"/>
        </w:rPr>
        <w:sectPr>
          <w:pgSz w:w="11906" w:h="16838"/>
          <w:pgMar w:top="1440" w:right="1080" w:bottom="1440" w:left="1080" w:header="851" w:footer="454" w:gutter="0"/>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138" w:name="_Toc59007848"/>
      <w:r>
        <w:rPr>
          <w:rFonts w:hint="eastAsia" w:ascii="メイリオ" w:hAnsi="メイリオ" w:eastAsia="メイリオ"/>
          <w:b w:val="1"/>
          <w:sz w:val="32"/>
          <w:u w:val="single" w:color="auto"/>
        </w:rPr>
        <w:t>４．介護サービスの質の確保・向上と適正・円滑な運営</w:t>
      </w:r>
      <w:bookmarkEnd w:id="138"/>
      <w:r>
        <w:rPr>
          <w:rFonts w:hint="eastAsia" w:ascii="メイリオ" w:hAnsi="メイリオ" w:eastAsia="メイリオ"/>
          <w:b w:val="1"/>
          <w:sz w:val="32"/>
          <w:u w:val="single" w:color="auto"/>
        </w:rPr>
        <w:t>　　　　　　　　　　　　　　　</w:t>
      </w:r>
    </w:p>
    <w:p>
      <w:pPr>
        <w:pStyle w:val="4"/>
        <w:ind w:left="0" w:leftChars="0"/>
        <w:jc w:val="both"/>
        <w:rPr>
          <w:rFonts w:hint="default" w:ascii="ＭＳ ゴシック" w:hAnsi="ＭＳ ゴシック" w:eastAsia="ＭＳ ゴシック"/>
          <w:b w:val="0"/>
          <w:sz w:val="28"/>
        </w:rPr>
      </w:pPr>
      <w:bookmarkStart w:id="139" w:name="_Toc512263476"/>
      <w:bookmarkEnd w:id="139"/>
      <w:bookmarkStart w:id="140" w:name="_Toc59007849"/>
      <w:r>
        <w:rPr>
          <w:rFonts w:hint="eastAsia" w:ascii="ＭＳ ゴシック" w:hAnsi="ＭＳ ゴシック" w:eastAsia="ＭＳ ゴシック"/>
          <w:b w:val="0"/>
          <w:sz w:val="28"/>
        </w:rPr>
        <w:t>（１）介護サービスの提供</w:t>
      </w:r>
      <w:bookmarkEnd w:id="140"/>
    </w:p>
    <w:p>
      <w:pPr>
        <w:pStyle w:val="0"/>
        <w:ind w:left="240" w:hanging="240" w:hangingChars="100"/>
        <w:jc w:val="both"/>
        <w:rPr>
          <w:rFonts w:hint="default"/>
          <w:color w:val="000000" w:themeColor="text1"/>
        </w:rPr>
      </w:pPr>
      <w:r>
        <w:rPr>
          <w:rFonts w:hint="eastAsia"/>
          <w:color w:val="000000" w:themeColor="text1"/>
        </w:rPr>
        <w:t>○　居宅サービスについては、要支援・要介護認定者が、一人ひとりの心身の状況や生活環境等に応じて、可能な限り住み慣れた地域において在宅生活を継続していけるよう、サービスの提供状況をふまえつつ、需要に見合うサービス供給量の確保等に努めます。</w:t>
      </w:r>
    </w:p>
    <w:p>
      <w:pPr>
        <w:pStyle w:val="0"/>
        <w:ind w:left="240" w:hanging="240" w:hangingChars="100"/>
        <w:jc w:val="both"/>
        <w:rPr>
          <w:rFonts w:hint="default"/>
          <w:color w:val="000000" w:themeColor="text1"/>
        </w:rPr>
      </w:pPr>
      <w:r>
        <w:rPr>
          <w:rFonts w:hint="eastAsia"/>
          <w:color w:val="000000" w:themeColor="text1"/>
        </w:rPr>
        <w:t>○　施設サービスについては、居宅サービスとのバランス、病床の機能分化、特別養護老人ホームの待機、「介護離職ゼロ」の取組の推進や今後の介護需要等をふまえ、有料老人ホームとサービス付き高齢者向け住宅の設置状況も勘案し、必要な基盤を整備します。</w:t>
      </w:r>
    </w:p>
    <w:p>
      <w:pPr>
        <w:pStyle w:val="0"/>
        <w:ind w:left="240" w:hanging="240" w:hangingChars="100"/>
        <w:jc w:val="both"/>
        <w:rPr>
          <w:rFonts w:hint="default"/>
        </w:rPr>
      </w:pPr>
      <w:r>
        <w:rPr>
          <w:rFonts w:hint="eastAsia"/>
          <w:color w:val="000000" w:themeColor="text1"/>
        </w:rPr>
        <w:t>○　地域密着型サービスについては、地域ニーズを把握し、公募等の手法も活用しながら、ニーズに対応した新たなサービス基盤を進めるとともに</w:t>
      </w:r>
      <w:r>
        <w:rPr>
          <w:rFonts w:hint="default"/>
          <w:color w:val="000000" w:themeColor="text1"/>
        </w:rPr>
        <w:t>既存地域密着型サービスの利用促進を図ります。</w:t>
      </w:r>
      <w:r>
        <w:rPr>
          <w:rFonts w:hint="eastAsia"/>
          <w:color w:val="000000" w:themeColor="text1"/>
        </w:rPr>
        <w:t>更</w:t>
      </w:r>
      <w:r>
        <w:rPr>
          <w:rFonts w:hint="default"/>
          <w:color w:val="000000" w:themeColor="text1"/>
        </w:rPr>
        <w:t>に、地域密着型サービスの運営にあたっては、</w:t>
      </w:r>
      <w:r>
        <w:rPr>
          <w:rFonts w:hint="eastAsia"/>
          <w:color w:val="000000" w:themeColor="text1"/>
        </w:rPr>
        <w:t>「</w:t>
      </w:r>
      <w:r>
        <w:rPr>
          <w:rFonts w:hint="default"/>
          <w:color w:val="000000" w:themeColor="text1"/>
        </w:rPr>
        <w:t>箕面市介護サービス評価専門員会議</w:t>
      </w:r>
      <w:r>
        <w:rPr>
          <w:rFonts w:hint="eastAsia"/>
          <w:color w:val="000000" w:themeColor="text1"/>
        </w:rPr>
        <w:t>」</w:t>
      </w:r>
      <w:r>
        <w:rPr>
          <w:rFonts w:hint="default"/>
          <w:color w:val="000000" w:themeColor="text1"/>
        </w:rPr>
        <w:t>での意見の反映に努めます。</w:t>
      </w:r>
    </w:p>
    <w:p>
      <w:pPr>
        <w:pStyle w:val="0"/>
        <w:ind w:left="240" w:hanging="240" w:hangingChars="100"/>
        <w:jc w:val="both"/>
        <w:rPr>
          <w:rFonts w:hint="default"/>
          <w:highlight w:val="cyan"/>
        </w:rPr>
      </w:pPr>
      <w:r>
        <w:rPr>
          <w:rFonts w:hint="eastAsia"/>
          <w:color w:val="000000" w:themeColor="text1"/>
        </w:rPr>
        <w:t>○　要介護者等に対するリハビリテーションサービスについては、医療保険で実施する急性期・回復期リハビリと、介護保険の生活期リハビリへの切れ目のないサービス提供体制を構築していきます。</w:t>
      </w:r>
    </w:p>
    <w:p>
      <w:pPr>
        <w:pStyle w:val="0"/>
        <w:ind w:left="240" w:hanging="240" w:hangingChars="100"/>
        <w:rPr>
          <w:rFonts w:hint="default"/>
        </w:rPr>
      </w:pPr>
    </w:p>
    <w:p>
      <w:pPr>
        <w:pStyle w:val="4"/>
        <w:ind w:left="280" w:leftChars="0" w:hanging="280" w:hangingChars="100"/>
        <w:jc w:val="both"/>
        <w:rPr>
          <w:rFonts w:hint="default" w:ascii="ＭＳ ゴシック" w:hAnsi="ＭＳ ゴシック" w:eastAsia="ＭＳ ゴシック"/>
          <w:b w:val="0"/>
          <w:sz w:val="28"/>
        </w:rPr>
      </w:pPr>
      <w:bookmarkStart w:id="141" w:name="_Toc512263477"/>
      <w:bookmarkEnd w:id="141"/>
      <w:bookmarkStart w:id="142" w:name="_Toc59007850"/>
      <w:r>
        <w:rPr>
          <w:rFonts w:hint="eastAsia" w:ascii="ＭＳ ゴシック" w:hAnsi="ＭＳ ゴシック" w:eastAsia="ＭＳ ゴシック"/>
          <w:b w:val="0"/>
          <w:sz w:val="28"/>
        </w:rPr>
        <w:t>（２）介護サービスの基盤の充実と質の確保・向上</w:t>
      </w:r>
      <w:bookmarkEnd w:id="142"/>
    </w:p>
    <w:p>
      <w:pPr>
        <w:pStyle w:val="5"/>
        <w:ind w:left="0" w:leftChars="0" w:firstLine="240" w:firstLineChars="100"/>
        <w:jc w:val="both"/>
        <w:rPr>
          <w:rFonts w:hint="default" w:ascii="ＭＳ ゴシック" w:hAnsi="ＭＳ ゴシック" w:eastAsia="ＭＳ ゴシック"/>
        </w:rPr>
      </w:pPr>
      <w:bookmarkStart w:id="143" w:name="_Toc512263478"/>
      <w:bookmarkEnd w:id="143"/>
      <w:bookmarkStart w:id="144" w:name="_Toc59007851"/>
      <w:r>
        <w:rPr>
          <w:rFonts w:hint="eastAsia" w:ascii="ＭＳ ゴシック" w:hAnsi="ＭＳ ゴシック" w:eastAsia="ＭＳ ゴシック"/>
        </w:rPr>
        <w:t>ア）適切な指導監査の実施</w:t>
      </w:r>
      <w:bookmarkEnd w:id="144"/>
    </w:p>
    <w:p>
      <w:pPr>
        <w:pStyle w:val="0"/>
        <w:ind w:left="480" w:leftChars="100" w:hanging="240" w:hangingChars="100"/>
        <w:jc w:val="both"/>
        <w:rPr>
          <w:rFonts w:hint="default"/>
        </w:rPr>
      </w:pPr>
      <w:r>
        <w:rPr>
          <w:rFonts w:hint="eastAsia"/>
        </w:rPr>
        <w:t>○　引き続き、利用者の自立支援及び尊厳の保持を念頭において、介護保険施設及び事業者の支援を基本に介護給付等対象サービスの質の確保と保険給付の適正化を図るため、法令等に基づき、介護給付等対象サービスの提供事業者に対し、指導監査を適宜実施していきます。</w:t>
      </w:r>
    </w:p>
    <w:p>
      <w:pPr>
        <w:pStyle w:val="0"/>
        <w:ind w:left="480" w:leftChars="100" w:hanging="240" w:hangingChars="100"/>
        <w:jc w:val="both"/>
        <w:rPr>
          <w:rFonts w:hint="default"/>
        </w:rPr>
      </w:pPr>
      <w:r>
        <w:rPr>
          <w:rFonts w:hint="eastAsia"/>
        </w:rPr>
        <w:t>○　指導監査の対象となる事業者については、従前から市町村の指定、指導等の権限下にある指定地域密着型サービス事業者、指定地域密着型介護予防サービス事業者及び指定介護予防支援事業者に加え、大阪府から指定、指導等の権限移譲を受けた指定居宅サービス事業者、指定介護予防サービス事業者及び指定居宅介護支援事業者も対象となります。</w:t>
      </w:r>
    </w:p>
    <w:p>
      <w:pPr>
        <w:pStyle w:val="0"/>
        <w:ind w:left="480" w:leftChars="100" w:hanging="240" w:hangingChars="100"/>
        <w:jc w:val="both"/>
        <w:rPr>
          <w:rFonts w:hint="default"/>
        </w:rPr>
      </w:pPr>
      <w:r>
        <w:rPr>
          <w:rFonts w:hint="eastAsia"/>
        </w:rPr>
        <w:t>○　給付適正化の取組や相談・苦情の申し出、事業者からの事故報告等により把握した内容をもとに、より市民生活に根ざしつつ、さらなるサービスの質の確保・向上のため、法令等に基づき適宜、適切な指導監査を行います。</w:t>
      </w:r>
    </w:p>
    <w:p>
      <w:pPr>
        <w:pStyle w:val="0"/>
        <w:jc w:val="both"/>
        <w:rPr>
          <w:rFonts w:hint="default"/>
          <w:color w:val="C00000"/>
        </w:rPr>
      </w:pPr>
    </w:p>
    <w:p>
      <w:pPr>
        <w:pStyle w:val="0"/>
        <w:jc w:val="both"/>
        <w:rPr>
          <w:rFonts w:hint="default"/>
          <w:color w:val="C00000"/>
        </w:rPr>
      </w:pPr>
    </w:p>
    <w:p>
      <w:pPr>
        <w:pStyle w:val="0"/>
        <w:jc w:val="both"/>
        <w:rPr>
          <w:rFonts w:hint="default"/>
          <w:color w:val="C00000"/>
        </w:rPr>
      </w:pPr>
    </w:p>
    <w:p>
      <w:pPr>
        <w:pStyle w:val="0"/>
        <w:jc w:val="both"/>
        <w:rPr>
          <w:rFonts w:hint="default"/>
          <w:color w:val="C00000"/>
        </w:rPr>
      </w:pPr>
    </w:p>
    <w:p>
      <w:pPr>
        <w:pStyle w:val="0"/>
        <w:jc w:val="both"/>
        <w:rPr>
          <w:rFonts w:hint="default"/>
          <w:color w:val="C00000"/>
        </w:rPr>
      </w:pPr>
    </w:p>
    <w:p>
      <w:pPr>
        <w:pStyle w:val="5"/>
        <w:ind w:left="0" w:leftChars="0" w:firstLine="240" w:firstLineChars="100"/>
        <w:jc w:val="both"/>
        <w:rPr>
          <w:rFonts w:hint="default" w:ascii="ＭＳ ゴシック" w:hAnsi="ＭＳ ゴシック" w:eastAsia="ＭＳ ゴシック"/>
        </w:rPr>
      </w:pPr>
      <w:bookmarkStart w:id="145" w:name="_Toc512263479"/>
      <w:bookmarkEnd w:id="145"/>
      <w:bookmarkStart w:id="146" w:name="_Toc59007852"/>
      <w:r>
        <w:rPr>
          <w:rFonts w:hint="eastAsia" w:ascii="ＭＳ ゴシック" w:hAnsi="ＭＳ ゴシック" w:eastAsia="ＭＳ ゴシック"/>
        </w:rPr>
        <w:t>イ）事業者や福祉の質の確保・向上、介護人材の確保</w:t>
      </w:r>
      <w:bookmarkEnd w:id="146"/>
    </w:p>
    <w:p>
      <w:pPr>
        <w:pStyle w:val="0"/>
        <w:ind w:left="480" w:leftChars="100" w:hanging="240" w:hangingChars="100"/>
        <w:jc w:val="both"/>
        <w:rPr>
          <w:rFonts w:hint="default"/>
          <w:color w:val="000000" w:themeColor="text1"/>
        </w:rPr>
      </w:pPr>
      <w:r>
        <w:rPr>
          <w:rFonts w:hint="eastAsia"/>
          <w:color w:val="000000" w:themeColor="text1"/>
        </w:rPr>
        <w:t>○　本市では、市内の事業者が主体となって「箕面市居宅介護支援事業所・介護予防支援事業所連絡会」、「箕面市通所サービス事業所連絡会」、「箕面市グループホーム連絡会」、「箕面市小規模多機能型居宅介護連絡会」、「箕面市訪問看護ステーション協議会」を運営しています。本市としては、引き続き、各連絡会に対し、情報提供等の支援やサービスの質の向上に向けた取組等を、連携して進めていきます。</w:t>
      </w:r>
    </w:p>
    <w:p>
      <w:pPr>
        <w:pStyle w:val="0"/>
        <w:ind w:left="480" w:leftChars="100" w:hanging="240" w:hangingChars="100"/>
        <w:jc w:val="both"/>
        <w:rPr>
          <w:rFonts w:hint="default"/>
          <w:color w:val="000000" w:themeColor="text1"/>
        </w:rPr>
      </w:pPr>
      <w:r>
        <w:rPr>
          <w:rFonts w:hint="eastAsia"/>
          <w:color w:val="000000" w:themeColor="text1"/>
        </w:rPr>
        <w:t>○　各サービス事業者に対し、様々な機会を通じて、研修の実施や情報提供などの支援を行い、サービスの質の向上に向けて事業者と連携して取り組みます。</w:t>
      </w:r>
    </w:p>
    <w:p>
      <w:pPr>
        <w:pStyle w:val="0"/>
        <w:ind w:left="480" w:leftChars="100" w:hanging="240" w:hangingChars="100"/>
        <w:jc w:val="both"/>
        <w:rPr>
          <w:rFonts w:hint="default"/>
          <w:color w:val="000000" w:themeColor="text1"/>
        </w:rPr>
      </w:pPr>
      <w:r>
        <w:rPr>
          <w:rFonts w:hint="eastAsia"/>
          <w:color w:val="000000" w:themeColor="text1"/>
        </w:rPr>
        <w:t>○　事業者の職員のストレス対策や、知識・介護技術の向上などに関し、研修情報の提供や啓発を進め、施設等における虐待防止に努めます。</w:t>
      </w:r>
    </w:p>
    <w:p>
      <w:pPr>
        <w:pStyle w:val="0"/>
        <w:ind w:left="480" w:leftChars="100" w:hanging="240" w:hangingChars="100"/>
        <w:jc w:val="both"/>
        <w:rPr>
          <w:rFonts w:hint="default"/>
          <w:color w:val="000000" w:themeColor="text1"/>
        </w:rPr>
      </w:pPr>
      <w:r>
        <w:rPr>
          <w:rFonts w:hint="eastAsia"/>
          <w:color w:val="000000" w:themeColor="text1"/>
        </w:rPr>
        <w:t>○　介護現場においては、介護職員及びその他の専門職も含め、介護人材不足が大きな課題であるため、国の「社会福祉事業に従事する者の確保を図るための措置に関する基本的な指針」や「介護雇用管理改善等計画」に基づいて、福祉・介護人材確保の取組を進めます。具体的には、北摂地域介護人材確保連絡会議に参加し、介護の仕事の魅力向上、離職防止等に取り組みます。</w:t>
      </w:r>
    </w:p>
    <w:p>
      <w:pPr>
        <w:pStyle w:val="0"/>
        <w:ind w:left="480" w:leftChars="100" w:hanging="240" w:hangingChars="100"/>
        <w:jc w:val="both"/>
        <w:rPr>
          <w:rFonts w:hint="default"/>
          <w:color w:val="000000" w:themeColor="text1"/>
        </w:rPr>
      </w:pPr>
      <w:r>
        <w:rPr>
          <w:rFonts w:hint="eastAsia"/>
          <w:color w:val="000000" w:themeColor="text1"/>
        </w:rPr>
        <w:t>○　身体介護を必要としないかたの生活援助を担う生活支援サポーターを養成するとともに、介護サービスに従事するヘルパーや介護士などの人材確保に努め、資質の向上を図ります。</w:t>
      </w:r>
    </w:p>
    <w:p>
      <w:pPr>
        <w:pStyle w:val="0"/>
        <w:ind w:left="480" w:leftChars="100" w:hanging="240" w:hangingChars="100"/>
        <w:jc w:val="both"/>
        <w:rPr>
          <w:rFonts w:hint="default"/>
        </w:rPr>
      </w:pPr>
      <w:r>
        <w:rPr>
          <w:rFonts w:hint="eastAsia"/>
          <w:color w:val="000000" w:themeColor="text1"/>
        </w:rPr>
        <w:t>○　介護業務の効率化の取組については、各サービス事業者に対し、国・大阪府からの情報提供や地域医療介護総合確保基金の利用促進等による支援に努めます。</w:t>
      </w:r>
    </w:p>
    <w:p>
      <w:pPr>
        <w:pStyle w:val="0"/>
        <w:ind w:left="480" w:leftChars="100" w:hanging="240" w:hangingChars="100"/>
        <w:jc w:val="both"/>
        <w:rPr>
          <w:rFonts w:hint="default"/>
        </w:rPr>
      </w:pPr>
    </w:p>
    <w:p>
      <w:pPr>
        <w:pStyle w:val="4"/>
        <w:ind w:left="0" w:leftChars="0"/>
        <w:jc w:val="both"/>
        <w:rPr>
          <w:rFonts w:hint="default" w:ascii="ＭＳ ゴシック" w:hAnsi="ＭＳ ゴシック" w:eastAsia="ＭＳ ゴシック"/>
          <w:b w:val="0"/>
          <w:sz w:val="28"/>
        </w:rPr>
      </w:pPr>
      <w:bookmarkStart w:id="147" w:name="_Toc512263480"/>
      <w:bookmarkEnd w:id="147"/>
      <w:bookmarkStart w:id="148" w:name="_Toc59007853"/>
      <w:r>
        <w:rPr>
          <w:rFonts w:hint="eastAsia" w:ascii="ＭＳ ゴシック" w:hAnsi="ＭＳ ゴシック" w:eastAsia="ＭＳ ゴシック"/>
          <w:b w:val="0"/>
          <w:sz w:val="28"/>
        </w:rPr>
        <w:t>（３）包括的な相談体制等の充実</w:t>
      </w:r>
      <w:bookmarkEnd w:id="148"/>
    </w:p>
    <w:p>
      <w:pPr>
        <w:pStyle w:val="5"/>
        <w:ind w:left="0" w:leftChars="0" w:firstLine="240" w:firstLineChars="100"/>
        <w:jc w:val="both"/>
        <w:rPr>
          <w:rFonts w:hint="default" w:ascii="ＭＳ ゴシック" w:hAnsi="ＭＳ ゴシック" w:eastAsia="ＭＳ ゴシック"/>
        </w:rPr>
      </w:pPr>
      <w:bookmarkStart w:id="149" w:name="_Toc512263481"/>
      <w:bookmarkEnd w:id="149"/>
      <w:bookmarkStart w:id="150" w:name="_Toc59007854"/>
      <w:r>
        <w:rPr>
          <w:rFonts w:hint="eastAsia" w:ascii="ＭＳ ゴシック" w:hAnsi="ＭＳ ゴシック" w:eastAsia="ＭＳ ゴシック"/>
        </w:rPr>
        <w:t>ア）相談体制の充実</w:t>
      </w:r>
      <w:bookmarkEnd w:id="150"/>
    </w:p>
    <w:p>
      <w:pPr>
        <w:pStyle w:val="0"/>
        <w:ind w:left="480" w:leftChars="100" w:hanging="240" w:hangingChars="100"/>
        <w:jc w:val="both"/>
        <w:rPr>
          <w:rFonts w:hint="default"/>
        </w:rPr>
      </w:pPr>
      <w:r>
        <w:rPr>
          <w:rFonts w:hint="eastAsia"/>
        </w:rPr>
        <w:t>○　ささえあいステーションを中心として総合相談を受け付け、適切な専門機関につなぐことで、利用者が気軽に身近に相談できる体制の充実を図り、より身近な相談窓口のありかたについて検討を進めます。</w:t>
      </w:r>
    </w:p>
    <w:p>
      <w:pPr>
        <w:pStyle w:val="0"/>
        <w:ind w:left="480" w:leftChars="100" w:hanging="240" w:hangingChars="100"/>
        <w:jc w:val="both"/>
        <w:rPr>
          <w:rFonts w:hint="default"/>
          <w:color w:val="000000" w:themeColor="text1"/>
        </w:rPr>
      </w:pPr>
      <w:r>
        <w:rPr>
          <w:rFonts w:hint="eastAsia"/>
        </w:rPr>
        <w:t>○　介護サービスを含む保健福祉サービスの利用者やその家族からの相談・苦情に対し適切かつ迅速な対応を行うとともに、保健福祉サービス提供時における事故等について適切な対応が行われているかの確認を行い、サービスの質の確保・向上を</w:t>
      </w:r>
      <w:r>
        <w:rPr>
          <w:rFonts w:hint="eastAsia"/>
          <w:color w:val="000000" w:themeColor="text1"/>
        </w:rPr>
        <w:t>図ります。</w:t>
      </w:r>
    </w:p>
    <w:p>
      <w:pPr>
        <w:pStyle w:val="0"/>
        <w:jc w:val="both"/>
        <w:rPr>
          <w:rFonts w:hint="default"/>
          <w:color w:val="C00000"/>
        </w:rPr>
      </w:pPr>
    </w:p>
    <w:p>
      <w:pPr>
        <w:pStyle w:val="5"/>
        <w:ind w:left="0" w:leftChars="0" w:firstLine="240" w:firstLineChars="100"/>
        <w:jc w:val="both"/>
        <w:rPr>
          <w:rFonts w:hint="default" w:ascii="ＭＳ ゴシック" w:hAnsi="ＭＳ ゴシック" w:eastAsia="ＭＳ ゴシック"/>
        </w:rPr>
      </w:pPr>
      <w:bookmarkStart w:id="151" w:name="_Toc512263482"/>
      <w:bookmarkEnd w:id="151"/>
      <w:bookmarkStart w:id="152" w:name="_Toc59007855"/>
      <w:r>
        <w:rPr>
          <w:rFonts w:hint="eastAsia" w:ascii="ＭＳ ゴシック" w:hAnsi="ＭＳ ゴシック" w:eastAsia="ＭＳ ゴシック"/>
        </w:rPr>
        <w:t>イ）高齢者等利用者にとってわかりやすい情報の提供</w:t>
      </w:r>
      <w:bookmarkEnd w:id="152"/>
    </w:p>
    <w:p>
      <w:pPr>
        <w:pStyle w:val="0"/>
        <w:ind w:left="480" w:hanging="480" w:hangingChars="200"/>
        <w:jc w:val="both"/>
        <w:rPr>
          <w:rFonts w:hint="default"/>
          <w:color w:val="000000" w:themeColor="text1"/>
        </w:rPr>
      </w:pPr>
      <w:r>
        <w:rPr>
          <w:rFonts w:hint="eastAsia"/>
        </w:rPr>
        <w:t>　○　介護保険制度や介護保険サービスについて必要なかたが利用しやすいように、周知・広報の方法を更</w:t>
      </w:r>
      <w:r>
        <w:rPr>
          <w:rFonts w:hint="eastAsia"/>
          <w:color w:val="000000" w:themeColor="text1"/>
        </w:rPr>
        <w:t>に工夫します。</w:t>
      </w:r>
    </w:p>
    <w:p>
      <w:pPr>
        <w:pStyle w:val="0"/>
        <w:ind w:left="480" w:leftChars="100" w:hanging="240" w:hangingChars="100"/>
        <w:jc w:val="both"/>
        <w:rPr>
          <w:rFonts w:hint="default"/>
          <w:color w:val="000000" w:themeColor="text1"/>
        </w:rPr>
      </w:pPr>
      <w:r>
        <w:rPr>
          <w:rFonts w:hint="eastAsia"/>
          <w:color w:val="000000" w:themeColor="text1"/>
        </w:rPr>
        <w:t>○　情報が届きにくい外国人や障害者に対しては、外国語版リーフレットの配布、市公開ホームページへの「高齢者福祉サービスのご案内」等の情報掲載により、情報のバリアフリー化を図ります。</w:t>
      </w:r>
    </w:p>
    <w:p>
      <w:pPr>
        <w:pStyle w:val="0"/>
        <w:ind w:left="480" w:leftChars="100" w:hanging="240" w:hangingChars="100"/>
        <w:jc w:val="both"/>
        <w:rPr>
          <w:rFonts w:hint="default"/>
          <w:color w:val="000000" w:themeColor="text1"/>
        </w:rPr>
      </w:pPr>
      <w:r>
        <w:rPr>
          <w:rFonts w:hint="eastAsia"/>
          <w:color w:val="000000" w:themeColor="text1"/>
        </w:rPr>
        <w:t>○　介護サービスの利用者が最も身近に情報を得られるケアマネジャーやサービス事業者に対しては、概ね２か月に１回開催されている「箕面市居宅介護支援事業所・介護予防支援事業所連絡会」やその他の機会を通じて、情報提供を行います。</w:t>
      </w:r>
    </w:p>
    <w:p>
      <w:pPr>
        <w:pStyle w:val="0"/>
        <w:ind w:left="480" w:leftChars="100" w:hanging="240" w:hangingChars="100"/>
        <w:jc w:val="both"/>
        <w:rPr>
          <w:rFonts w:hint="default"/>
          <w:color w:val="000000" w:themeColor="text1"/>
        </w:rPr>
      </w:pPr>
      <w:r>
        <w:rPr>
          <w:rFonts w:hint="eastAsia"/>
          <w:color w:val="000000" w:themeColor="text1"/>
        </w:rPr>
        <w:t>○　高齢者の見守りや行政へつなぐ役割を担っている民生委員・児童委員に対しては、研修等により制度周知に努め、身近な地域における相談支援体制づくりを図ります。</w:t>
      </w:r>
    </w:p>
    <w:p>
      <w:pPr>
        <w:pStyle w:val="0"/>
        <w:ind w:left="480" w:leftChars="100" w:hanging="240" w:hangingChars="100"/>
        <w:jc w:val="both"/>
        <w:rPr>
          <w:rFonts w:hint="default"/>
          <w:color w:val="000000" w:themeColor="text1"/>
        </w:rPr>
      </w:pPr>
      <w:r>
        <w:rPr>
          <w:rFonts w:hint="eastAsia"/>
          <w:color w:val="000000" w:themeColor="text1"/>
        </w:rPr>
        <w:t>○　情報提供を行う際には、個人の特性から生じる情報の届きにくさに配慮しながら、市ホームページ、広報紙もみじだより、コミュニティＦＭ放送（タッキー</w:t>
      </w:r>
      <w:r>
        <w:rPr>
          <w:rFonts w:hint="default"/>
          <w:color w:val="000000" w:themeColor="text1"/>
        </w:rPr>
        <w:t>816</w:t>
      </w:r>
      <w:r>
        <w:rPr>
          <w:rFonts w:hint="default"/>
          <w:color w:val="000000" w:themeColor="text1"/>
        </w:rPr>
        <w:t>）等様々な媒体を活用</w:t>
      </w:r>
      <w:r>
        <w:rPr>
          <w:rFonts w:hint="eastAsia"/>
          <w:color w:val="000000" w:themeColor="text1"/>
        </w:rPr>
        <w:t>するとともに</w:t>
      </w:r>
      <w:r>
        <w:rPr>
          <w:rFonts w:hint="default"/>
          <w:color w:val="000000" w:themeColor="text1"/>
        </w:rPr>
        <w:t>、点字</w:t>
      </w:r>
      <w:r>
        <w:rPr>
          <w:rFonts w:hint="eastAsia"/>
          <w:color w:val="000000" w:themeColor="text1"/>
        </w:rPr>
        <w:t>や</w:t>
      </w:r>
      <w:r>
        <w:rPr>
          <w:rFonts w:hint="default"/>
          <w:color w:val="000000" w:themeColor="text1"/>
        </w:rPr>
        <w:t>外国語など</w:t>
      </w:r>
      <w:r>
        <w:rPr>
          <w:rFonts w:hint="eastAsia"/>
          <w:color w:val="000000" w:themeColor="text1"/>
        </w:rPr>
        <w:t>も含め、</w:t>
      </w:r>
      <w:r>
        <w:rPr>
          <w:rFonts w:hint="default"/>
          <w:color w:val="000000" w:themeColor="text1"/>
        </w:rPr>
        <w:t>利用者本位の情報提供を進めます。</w:t>
      </w:r>
    </w:p>
    <w:p>
      <w:pPr>
        <w:pStyle w:val="0"/>
        <w:ind w:left="480" w:leftChars="100" w:hanging="240" w:hangingChars="100"/>
        <w:jc w:val="both"/>
        <w:rPr>
          <w:rFonts w:hint="default"/>
          <w:color w:val="000000" w:themeColor="text1"/>
        </w:rPr>
      </w:pPr>
      <w:r>
        <w:rPr>
          <w:rFonts w:hint="eastAsia"/>
          <w:color w:val="000000" w:themeColor="text1"/>
        </w:rPr>
        <w:t>○　市や社会福祉協議会等が実施する、認知症や介護に関する講演会や、高齢者の相互交流・地域住民との交流を進める高齢者ふれあいいきいきサロンや高齢者の会食会等を通じ、身近な地域での情報提供を継続的に実施します。</w:t>
      </w:r>
    </w:p>
    <w:p>
      <w:pPr>
        <w:pStyle w:val="0"/>
        <w:ind w:left="480" w:hanging="480" w:hangingChars="200"/>
        <w:rPr>
          <w:rFonts w:hint="default"/>
        </w:rPr>
      </w:pPr>
    </w:p>
    <w:p>
      <w:pPr>
        <w:pStyle w:val="4"/>
        <w:ind w:left="0" w:leftChars="0"/>
        <w:jc w:val="both"/>
        <w:rPr>
          <w:rFonts w:hint="default" w:ascii="ＭＳ ゴシック" w:hAnsi="ＭＳ ゴシック" w:eastAsia="ＭＳ ゴシック"/>
          <w:b w:val="0"/>
          <w:sz w:val="28"/>
          <w:bdr w:val="single" w:color="auto" w:sz="4" w:space="0"/>
        </w:rPr>
      </w:pPr>
      <w:bookmarkStart w:id="153" w:name="_Toc512263483"/>
      <w:bookmarkEnd w:id="153"/>
      <w:bookmarkStart w:id="154" w:name="_Toc59007856"/>
      <w:r>
        <w:rPr>
          <w:rFonts w:hint="eastAsia" w:ascii="ＭＳ ゴシック" w:hAnsi="ＭＳ ゴシック" w:eastAsia="ＭＳ ゴシック"/>
          <w:b w:val="0"/>
          <w:sz w:val="28"/>
        </w:rPr>
        <w:t>（４）介護保険事業の適正かつ円滑な運営</w:t>
      </w:r>
      <w:bookmarkEnd w:id="154"/>
    </w:p>
    <w:p>
      <w:pPr>
        <w:pStyle w:val="5"/>
        <w:ind w:left="0" w:leftChars="0" w:firstLine="240" w:firstLineChars="100"/>
        <w:jc w:val="both"/>
        <w:rPr>
          <w:rFonts w:hint="default" w:ascii="ＭＳ ゴシック" w:hAnsi="ＭＳ ゴシック" w:eastAsia="ＭＳ ゴシック"/>
        </w:rPr>
      </w:pPr>
      <w:bookmarkStart w:id="155" w:name="_Toc512263484"/>
      <w:bookmarkEnd w:id="155"/>
      <w:bookmarkStart w:id="156" w:name="_Toc59007857"/>
      <w:r>
        <w:rPr>
          <w:rFonts w:hint="eastAsia" w:ascii="ＭＳ ゴシック" w:hAnsi="ＭＳ ゴシック" w:eastAsia="ＭＳ ゴシック"/>
        </w:rPr>
        <w:t>ア）適正な要介護認定の実施</w:t>
      </w:r>
      <w:bookmarkEnd w:id="156"/>
    </w:p>
    <w:p>
      <w:pPr>
        <w:pStyle w:val="0"/>
        <w:ind w:left="480" w:leftChars="100" w:hanging="240" w:hangingChars="100"/>
        <w:jc w:val="both"/>
        <w:rPr>
          <w:rFonts w:hint="default"/>
        </w:rPr>
      </w:pPr>
      <w:r>
        <w:rPr>
          <w:rFonts w:hint="eastAsia"/>
        </w:rPr>
        <w:t>○　介護認定審査会の審査前には、市職員が認定調査結果や主治医意見書の点検を行うとともに、必要に応じ認定調査員への疑義照会や主治医への意見照会を実施して</w:t>
      </w:r>
      <w:r>
        <w:rPr>
          <w:rFonts w:hint="eastAsia"/>
          <w:color w:val="C00000"/>
        </w:rPr>
        <w:t>、</w:t>
      </w:r>
      <w:r>
        <w:rPr>
          <w:rFonts w:hint="eastAsia"/>
        </w:rPr>
        <w:t>審査・判定の適正性を確保します。また、認定調査員及び介護認定審査会委員の判定技能の向上を図るための研修を実施します。</w:t>
      </w:r>
    </w:p>
    <w:p>
      <w:pPr>
        <w:pStyle w:val="0"/>
        <w:ind w:left="480" w:leftChars="100" w:hanging="240" w:hangingChars="100"/>
        <w:jc w:val="both"/>
        <w:rPr>
          <w:rFonts w:hint="default"/>
        </w:rPr>
      </w:pPr>
      <w:r>
        <w:rPr>
          <w:rFonts w:hint="eastAsia"/>
        </w:rPr>
        <w:t>○　認定審査会においては、認定調査による障害等の特記事項を審査・判定に適切に反映させます。</w:t>
      </w:r>
    </w:p>
    <w:p>
      <w:pPr>
        <w:pStyle w:val="0"/>
        <w:ind w:left="480" w:leftChars="100" w:hanging="240" w:hangingChars="100"/>
        <w:jc w:val="both"/>
        <w:rPr>
          <w:rFonts w:hint="default"/>
        </w:rPr>
      </w:pPr>
      <w:r>
        <w:rPr>
          <w:rFonts w:hint="eastAsia"/>
        </w:rPr>
        <w:t>○　認定調査において</w:t>
      </w:r>
      <w:r>
        <w:rPr>
          <w:rFonts w:hint="eastAsia"/>
          <w:color w:val="000000" w:themeColor="text1"/>
        </w:rPr>
        <w:t>は、外国人や障害者等コミュニケーション支援が必要なかたについて、多言語通訳、手話通訳、筆談等ができる者の同席などの配慮を行い、より正確な心身状況の把握に努めます。</w:t>
      </w:r>
    </w:p>
    <w:p>
      <w:pPr>
        <w:pStyle w:val="0"/>
        <w:jc w:val="both"/>
        <w:rPr>
          <w:rFonts w:hint="default"/>
          <w:color w:val="000000" w:themeColor="text1"/>
        </w:rPr>
      </w:pPr>
    </w:p>
    <w:p>
      <w:pPr>
        <w:pStyle w:val="5"/>
        <w:ind w:left="0" w:leftChars="0" w:firstLine="240" w:firstLineChars="100"/>
        <w:jc w:val="both"/>
        <w:rPr>
          <w:rFonts w:hint="default" w:ascii="ＭＳ ゴシック" w:hAnsi="ＭＳ ゴシック" w:eastAsia="ＭＳ ゴシック"/>
          <w:color w:val="000000" w:themeColor="text1"/>
        </w:rPr>
      </w:pPr>
      <w:bookmarkStart w:id="157" w:name="_Toc512263485"/>
      <w:bookmarkEnd w:id="157"/>
      <w:bookmarkStart w:id="158" w:name="_Toc59007858"/>
      <w:r>
        <w:rPr>
          <w:rFonts w:hint="eastAsia" w:ascii="ＭＳ ゴシック" w:hAnsi="ＭＳ ゴシック" w:eastAsia="ＭＳ ゴシック"/>
          <w:color w:val="000000" w:themeColor="text1"/>
        </w:rPr>
        <w:t>イ）介護給付適正化事業の推進</w:t>
      </w:r>
      <w:bookmarkEnd w:id="158"/>
    </w:p>
    <w:p>
      <w:pPr>
        <w:pStyle w:val="0"/>
        <w:ind w:left="480" w:leftChars="100" w:hanging="240" w:hangingChars="100"/>
        <w:jc w:val="both"/>
        <w:rPr>
          <w:rFonts w:hint="default"/>
        </w:rPr>
      </w:pPr>
      <w:r>
        <w:rPr>
          <w:rFonts w:hint="eastAsia"/>
        </w:rPr>
        <w:t>○</w:t>
      </w:r>
      <w:r>
        <w:rPr>
          <w:rFonts w:hint="default"/>
        </w:rPr>
        <w:t xml:space="preserve"> </w:t>
      </w:r>
      <w:r>
        <w:rPr>
          <w:rFonts w:hint="eastAsia"/>
        </w:rPr>
        <w:t>　</w:t>
      </w:r>
      <w:r>
        <w:rPr>
          <w:rFonts w:hint="default"/>
        </w:rPr>
        <w:t>介護給付の適正化については、</w:t>
      </w:r>
      <w:r>
        <w:rPr>
          <w:rFonts w:hint="eastAsia"/>
        </w:rPr>
        <w:t>令和２</w:t>
      </w:r>
      <w:r>
        <w:rPr>
          <w:rFonts w:hint="default"/>
        </w:rPr>
        <w:t>年</w:t>
      </w:r>
      <w:r>
        <w:rPr>
          <w:rFonts w:hint="eastAsia"/>
        </w:rPr>
        <w:t>(</w:t>
      </w:r>
      <w:r>
        <w:rPr>
          <w:rFonts w:hint="default"/>
        </w:rPr>
        <w:t>20</w:t>
      </w:r>
      <w:r>
        <w:rPr>
          <w:rFonts w:hint="eastAsia"/>
        </w:rPr>
        <w:t>20</w:t>
      </w:r>
      <w:r>
        <w:rPr>
          <w:rFonts w:hint="default"/>
        </w:rPr>
        <w:t>年</w:t>
      </w:r>
      <w:r>
        <w:rPr>
          <w:rFonts w:hint="eastAsia"/>
        </w:rPr>
        <w:t>)</w:t>
      </w:r>
      <w:r>
        <w:rPr>
          <w:rFonts w:hint="eastAsia"/>
        </w:rPr>
        <w:t>９</w:t>
      </w:r>
      <w:r>
        <w:rPr>
          <w:rFonts w:hint="default"/>
        </w:rPr>
        <w:t>月に厚生労働省より「第</w:t>
      </w:r>
      <w:r>
        <w:rPr>
          <w:rFonts w:hint="eastAsia"/>
        </w:rPr>
        <w:t>５</w:t>
      </w:r>
      <w:r>
        <w:rPr>
          <w:rFonts w:hint="default"/>
        </w:rPr>
        <w:t>期（</w:t>
      </w:r>
      <w:r>
        <w:rPr>
          <w:rFonts w:hint="eastAsia"/>
        </w:rPr>
        <w:t>令和３</w:t>
      </w:r>
      <w:r>
        <w:rPr>
          <w:rFonts w:hint="default"/>
        </w:rPr>
        <w:t>年度～</w:t>
      </w:r>
      <w:r>
        <w:rPr>
          <w:rFonts w:hint="eastAsia"/>
        </w:rPr>
        <w:t>令和５</w:t>
      </w:r>
      <w:r>
        <w:rPr>
          <w:rFonts w:hint="default"/>
        </w:rPr>
        <w:t>年度）介護給付適正化計画」に関する指針が発出されました。これを</w:t>
      </w:r>
      <w:r>
        <w:rPr>
          <w:rFonts w:hint="eastAsia"/>
        </w:rPr>
        <w:t>ふ</w:t>
      </w:r>
      <w:r>
        <w:rPr>
          <w:rFonts w:hint="default"/>
        </w:rPr>
        <w:t>まえ</w:t>
      </w:r>
      <w:r>
        <w:rPr>
          <w:rFonts w:hint="eastAsia"/>
        </w:rPr>
        <w:t>策定される</w:t>
      </w:r>
      <w:r>
        <w:rPr>
          <w:rFonts w:hint="default"/>
        </w:rPr>
        <w:t>「第</w:t>
      </w:r>
      <w:r>
        <w:rPr>
          <w:rFonts w:hint="eastAsia"/>
        </w:rPr>
        <w:t>５</w:t>
      </w:r>
      <w:r>
        <w:rPr>
          <w:rFonts w:hint="default"/>
        </w:rPr>
        <w:t>期（</w:t>
      </w:r>
      <w:r>
        <w:rPr>
          <w:rFonts w:hint="eastAsia"/>
        </w:rPr>
        <w:t>令和３</w:t>
      </w:r>
      <w:r>
        <w:rPr>
          <w:rFonts w:hint="default"/>
        </w:rPr>
        <w:t>年度～</w:t>
      </w:r>
      <w:r>
        <w:rPr>
          <w:rFonts w:hint="eastAsia"/>
        </w:rPr>
        <w:t>令和５</w:t>
      </w:r>
      <w:r>
        <w:rPr>
          <w:rFonts w:hint="default"/>
        </w:rPr>
        <w:t>年度）大阪府介護給付適正化計画」</w:t>
      </w:r>
      <w:r>
        <w:rPr>
          <w:rFonts w:hint="eastAsia"/>
        </w:rPr>
        <w:t>に基づき、本市においても</w:t>
      </w:r>
      <w:r>
        <w:rPr>
          <w:rFonts w:hint="default"/>
        </w:rPr>
        <w:t>引き続き</w:t>
      </w:r>
      <w:r>
        <w:rPr>
          <w:rFonts w:hint="eastAsia"/>
        </w:rPr>
        <w:t>、</w:t>
      </w:r>
      <w:r>
        <w:rPr>
          <w:rFonts w:hint="default"/>
        </w:rPr>
        <w:t>計画に定められた主要８事業（認定訪問調査の点検、ケアプラ</w:t>
      </w:r>
      <w:r>
        <w:rPr>
          <w:rFonts w:hint="default"/>
          <w:color w:val="000000" w:themeColor="text1"/>
        </w:rPr>
        <w:t>ン</w:t>
      </w:r>
      <w:r>
        <w:rPr>
          <w:rFonts w:hint="eastAsia"/>
          <w:color w:val="000000" w:themeColor="text1"/>
        </w:rPr>
        <w:t>チェック</w:t>
      </w:r>
      <w:r>
        <w:rPr>
          <w:rFonts w:hint="default"/>
          <w:color w:val="000000" w:themeColor="text1"/>
        </w:rPr>
        <w:t>、住宅</w:t>
      </w:r>
      <w:r>
        <w:rPr>
          <w:rFonts w:hint="default"/>
        </w:rPr>
        <w:t>改修の適正化、福祉用具購入・貸与調査、医療情報との突合、縦覧点検、介護給付費通知、給付実績の活用）について実施目標を設定し、より一層の適正化</w:t>
      </w:r>
      <w:r>
        <w:rPr>
          <w:rFonts w:hint="eastAsia"/>
        </w:rPr>
        <w:t>に</w:t>
      </w:r>
      <w:r>
        <w:rPr>
          <w:rFonts w:hint="default"/>
        </w:rPr>
        <w:t>取</w:t>
      </w:r>
      <w:r>
        <w:rPr>
          <w:rFonts w:hint="eastAsia"/>
        </w:rPr>
        <w:t>り</w:t>
      </w:r>
      <w:r>
        <w:rPr>
          <w:rFonts w:hint="default"/>
        </w:rPr>
        <w:t>組</w:t>
      </w:r>
      <w:r>
        <w:rPr>
          <w:rFonts w:hint="eastAsia"/>
        </w:rPr>
        <w:t>み</w:t>
      </w:r>
      <w:r>
        <w:rPr>
          <w:rFonts w:hint="default"/>
        </w:rPr>
        <w:t>ま</w:t>
      </w:r>
      <w:r>
        <w:rPr>
          <w:rFonts w:hint="eastAsia"/>
        </w:rPr>
        <w:t>す。</w:t>
      </w:r>
    </w:p>
    <w:p>
      <w:pPr>
        <w:pStyle w:val="0"/>
        <w:ind w:left="480" w:leftChars="100" w:hanging="240" w:hangingChars="100"/>
        <w:jc w:val="both"/>
        <w:rPr>
          <w:rFonts w:hint="default"/>
        </w:rPr>
      </w:pPr>
      <w:r>
        <w:rPr>
          <w:rFonts w:hint="eastAsia"/>
        </w:rPr>
        <w:t>○　</w:t>
      </w:r>
      <w:r>
        <w:rPr>
          <w:rFonts w:hint="default"/>
        </w:rPr>
        <w:t>サービス事業者による不正請求の疑いがある場合</w:t>
      </w:r>
      <w:r>
        <w:rPr>
          <w:rFonts w:hint="eastAsia"/>
        </w:rPr>
        <w:t>はもとより、サービス提供体制の不備や事業者指定に係る基準に抵触する恐れがある場合</w:t>
      </w:r>
      <w:r>
        <w:rPr>
          <w:rFonts w:hint="default"/>
        </w:rPr>
        <w:t>には、</w:t>
      </w:r>
      <w:r>
        <w:rPr>
          <w:rFonts w:hint="eastAsia"/>
        </w:rPr>
        <w:t>関係機関等</w:t>
      </w:r>
      <w:r>
        <w:rPr>
          <w:rFonts w:hint="default"/>
        </w:rPr>
        <w:t>と連携しながら、積極的に調査や指導・監査を実施します。</w:t>
      </w:r>
    </w:p>
    <w:p>
      <w:pPr>
        <w:pStyle w:val="0"/>
        <w:ind w:firstLine="240" w:firstLineChars="100"/>
        <w:rPr>
          <w:rFonts w:hint="default" w:ascii="ＭＳ ゴシック" w:hAnsi="ＭＳ ゴシック" w:eastAsia="ＭＳ ゴシック"/>
          <w:color w:val="000000" w:themeColor="text1"/>
        </w:rPr>
      </w:pPr>
    </w:p>
    <w:p>
      <w:pPr>
        <w:pStyle w:val="0"/>
        <w:ind w:firstLine="240" w:firstLineChars="100"/>
        <w:rPr>
          <w:rFonts w:hint="default" w:ascii="ＭＳ ゴシック" w:hAnsi="ＭＳ ゴシック" w:eastAsia="ＭＳ ゴシック"/>
          <w:color w:val="000000" w:themeColor="text1"/>
        </w:rPr>
      </w:pPr>
    </w:p>
    <w:p>
      <w:pPr>
        <w:pStyle w:val="0"/>
        <w:ind w:firstLine="240" w:firstLineChars="100"/>
        <w:rPr>
          <w:rFonts w:hint="default" w:ascii="ＭＳ ゴシック" w:hAnsi="ＭＳ ゴシック" w:eastAsia="ＭＳ ゴシック"/>
          <w:color w:val="000000" w:themeColor="text1"/>
        </w:rPr>
      </w:pPr>
      <w:r>
        <w:rPr>
          <w:rFonts w:hint="eastAsia" w:ascii="ＭＳ ゴシック" w:hAnsi="ＭＳ ゴシック" w:eastAsia="ＭＳ ゴシック"/>
          <w:color w:val="000000" w:themeColor="text1"/>
        </w:rPr>
        <w:t>■介護給付適正化の取組内容と目標</w:t>
      </w:r>
    </w:p>
    <w:tbl>
      <w:tblPr>
        <w:tblStyle w:val="59"/>
        <w:tblW w:w="9296" w:type="dxa"/>
        <w:tblInd w:w="480" w:type="dxa"/>
        <w:tblLayout w:type="fixed"/>
        <w:tblLook w:firstRow="1" w:lastRow="0" w:firstColumn="1" w:lastColumn="0" w:noHBand="0" w:noVBand="1" w:val="04A0"/>
      </w:tblPr>
      <w:tblGrid>
        <w:gridCol w:w="9296"/>
      </w:tblGrid>
      <w:tr>
        <w:trPr>
          <w:trHeight w:val="690" w:hRule="atLeast"/>
        </w:trPr>
        <w:tc>
          <w:tcPr>
            <w:tcW w:w="9296" w:type="dxa"/>
            <w:vAlign w:val="top"/>
          </w:tcPr>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□認定訪問調査の点検</w:t>
            </w:r>
          </w:p>
          <w:p>
            <w:pPr>
              <w:pStyle w:val="0"/>
              <w:ind w:firstLine="240" w:firstLineChars="100"/>
              <w:jc w:val="both"/>
              <w:rPr>
                <w:rFonts w:hint="default" w:ascii="ＭＳ 明朝" w:hAnsi="ＭＳ 明朝" w:eastAsia="ＭＳ 明朝"/>
                <w:sz w:val="24"/>
              </w:rPr>
            </w:pPr>
            <w:r>
              <w:rPr>
                <w:rFonts w:hint="eastAsia" w:ascii="ＭＳ 明朝" w:hAnsi="ＭＳ 明朝" w:eastAsia="ＭＳ 明朝"/>
                <w:sz w:val="24"/>
              </w:rPr>
              <w:t>認定審査における資料において、不整合や記述内容の疑義等の確認を行う。</w:t>
            </w:r>
          </w:p>
          <w:p>
            <w:pPr>
              <w:pStyle w:val="0"/>
              <w:ind w:firstLine="720" w:firstLineChars="300"/>
              <w:jc w:val="both"/>
              <w:rPr>
                <w:rFonts w:hint="default" w:ascii="ＭＳ ゴシック" w:hAnsi="ＭＳ ゴシック" w:eastAsia="ＭＳ ゴシック"/>
                <w:color w:val="000000" w:themeColor="text1"/>
                <w:sz w:val="24"/>
              </w:rPr>
            </w:pPr>
            <w:r>
              <w:rPr>
                <w:rFonts w:hint="eastAsia" w:ascii="ＭＳ 明朝" w:hAnsi="ＭＳ 明朝" w:eastAsia="ＭＳ 明朝"/>
                <w:color w:val="000000" w:themeColor="text1"/>
                <w:sz w:val="24"/>
              </w:rPr>
              <w:t>目標件数　審査件数の全件</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□ケアプランチェック</w:t>
            </w:r>
          </w:p>
          <w:p>
            <w:pPr>
              <w:pStyle w:val="0"/>
              <w:ind w:left="240" w:leftChars="100" w:right="-101" w:rightChars="-42"/>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市給付担当部署、地域包括支援センターが中心となり、ケアプランが利用者の自立につながる真に必要なサービスの位置づけがされているか確認する。</w:t>
            </w:r>
          </w:p>
          <w:p>
            <w:pPr>
              <w:pStyle w:val="0"/>
              <w:ind w:firstLine="720" w:firstLineChars="300"/>
              <w:jc w:val="both"/>
              <w:rPr>
                <w:rFonts w:hint="default"/>
                <w:color w:val="000000" w:themeColor="text1"/>
                <w:sz w:val="24"/>
              </w:rPr>
            </w:pPr>
            <w:r>
              <w:rPr>
                <w:rFonts w:hint="eastAsia" w:ascii="ＭＳ 明朝" w:hAnsi="ＭＳ 明朝" w:eastAsia="ＭＳ 明朝"/>
                <w:color w:val="000000" w:themeColor="text1"/>
                <w:sz w:val="24"/>
              </w:rPr>
              <w:t>目標件数　住宅型有料老人ホームの全件／３年</w:t>
            </w:r>
          </w:p>
          <w:p>
            <w:pPr>
              <w:pStyle w:val="0"/>
              <w:ind w:firstLine="1920" w:firstLineChars="800"/>
              <w:jc w:val="both"/>
              <w:rPr>
                <w:rFonts w:hint="default"/>
                <w:color w:val="000000" w:themeColor="text1"/>
                <w:sz w:val="24"/>
              </w:rPr>
            </w:pPr>
            <w:r>
              <w:rPr>
                <w:rFonts w:hint="eastAsia" w:ascii="ＭＳ 明朝" w:hAnsi="ＭＳ 明朝" w:eastAsia="ＭＳ 明朝"/>
                <w:color w:val="000000" w:themeColor="text1"/>
                <w:sz w:val="24"/>
              </w:rPr>
              <w:t>サービス付き高齢者向け住宅の一部／３年</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□住宅改修の適正化</w:t>
            </w:r>
          </w:p>
          <w:p>
            <w:pPr>
              <w:pStyle w:val="0"/>
              <w:ind w:left="559" w:leftChars="133" w:right="-242" w:rightChars="-101"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①サービス利用者から提出された住宅改修費支給申請書の市における審査の際に、リハビリテーション専門職（必要に応じて建築専門職）により点検を行う。　　　　　　　　　　　　　　　　　　　　</w:t>
            </w:r>
          </w:p>
          <w:p>
            <w:pPr>
              <w:pStyle w:val="0"/>
              <w:ind w:firstLine="720" w:firstLineChars="3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目標件数　申請件数の全件を書類審査</w:t>
            </w:r>
          </w:p>
          <w:p>
            <w:pPr>
              <w:pStyle w:val="0"/>
              <w:ind w:left="559" w:leftChars="133"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②住宅改修工事の事前または事後に、リハビリテーション専門職による現地調査等の確認を行う。また、病院や介護事業者などの他機関のリハビリテーション専門職とも連携し住宅改修の適正化に努める。　</w:t>
            </w:r>
          </w:p>
          <w:p>
            <w:pPr>
              <w:pStyle w:val="0"/>
              <w:ind w:left="480" w:leftChars="100" w:hanging="240" w:hangingChars="100"/>
              <w:jc w:val="both"/>
              <w:rPr>
                <w:rFonts w:hint="default"/>
                <w:color w:val="000000" w:themeColor="text1"/>
                <w:sz w:val="24"/>
              </w:rPr>
            </w:pPr>
            <w:r>
              <w:rPr>
                <w:rFonts w:hint="eastAsia" w:ascii="ＭＳ 明朝" w:hAnsi="ＭＳ 明朝" w:eastAsia="ＭＳ 明朝"/>
                <w:color w:val="000000" w:themeColor="text1"/>
                <w:sz w:val="24"/>
              </w:rPr>
              <w:t>　　目標件数　申請件数中</w:t>
            </w:r>
            <w:r>
              <w:rPr>
                <w:rFonts w:hint="eastAsia" w:ascii="ＭＳ 明朝" w:hAnsi="ＭＳ 明朝" w:eastAsia="ＭＳ 明朝"/>
                <w:color w:val="000000" w:themeColor="text1"/>
                <w:sz w:val="24"/>
              </w:rPr>
              <w:t>30</w:t>
            </w:r>
            <w:r>
              <w:rPr>
                <w:rFonts w:hint="eastAsia" w:ascii="ＭＳ 明朝" w:hAnsi="ＭＳ 明朝" w:eastAsia="ＭＳ 明朝"/>
                <w:color w:val="000000" w:themeColor="text1"/>
                <w:sz w:val="24"/>
              </w:rPr>
              <w:t>％以上／年</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□福祉用具購入・貸与調査</w:t>
            </w:r>
          </w:p>
          <w:p>
            <w:pPr>
              <w:pStyle w:val="0"/>
              <w:ind w:left="480" w:leftChars="10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①福祉用具の選択や使用方法について、リハビリテーション専門職が訪問指導を行い、地域ケア会議の際に福祉用具購入の点検並びに福祉用具貸与計画も合わせて点検を行い、適正な利用を助言する。</w:t>
            </w:r>
          </w:p>
          <w:p>
            <w:pPr>
              <w:pStyle w:val="0"/>
              <w:ind w:firstLine="720" w:firstLineChars="3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目標件数　申請件数中</w:t>
            </w:r>
            <w:r>
              <w:rPr>
                <w:rFonts w:hint="eastAsia" w:ascii="ＭＳ 明朝" w:hAnsi="ＭＳ 明朝" w:eastAsia="ＭＳ 明朝"/>
                <w:color w:val="000000" w:themeColor="text1"/>
                <w:sz w:val="24"/>
              </w:rPr>
              <w:t>10</w:t>
            </w:r>
            <w:r>
              <w:rPr>
                <w:rFonts w:hint="eastAsia" w:ascii="ＭＳ 明朝" w:hAnsi="ＭＳ 明朝" w:eastAsia="ＭＳ 明朝"/>
                <w:color w:val="000000" w:themeColor="text1"/>
                <w:sz w:val="24"/>
              </w:rPr>
              <w:t>％以上／年</w:t>
            </w:r>
          </w:p>
          <w:p>
            <w:pPr>
              <w:pStyle w:val="0"/>
              <w:ind w:left="480" w:leftChars="100" w:hanging="240" w:hanging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②貸与開始後、用具が適切に利用されているか否かをリハビリテーション専門職が貸与利用者の内から無作為に抽出し点検する。</w:t>
            </w:r>
          </w:p>
          <w:p>
            <w:pPr>
              <w:pStyle w:val="0"/>
              <w:ind w:left="480" w:leftChars="200" w:firstLine="240" w:firstLineChars="100"/>
              <w:jc w:val="both"/>
              <w:rPr>
                <w:rFonts w:hint="default"/>
                <w:color w:val="000000" w:themeColor="text1"/>
                <w:sz w:val="24"/>
              </w:rPr>
            </w:pPr>
            <w:r>
              <w:rPr>
                <w:rFonts w:hint="eastAsia" w:ascii="ＭＳ 明朝" w:hAnsi="ＭＳ 明朝" w:eastAsia="ＭＳ 明朝"/>
                <w:color w:val="000000" w:themeColor="text1"/>
                <w:sz w:val="24"/>
              </w:rPr>
              <w:t>目標件数　申請件数中</w:t>
            </w:r>
            <w:r>
              <w:rPr>
                <w:rFonts w:hint="eastAsia" w:ascii="ＭＳ 明朝" w:hAnsi="ＭＳ 明朝" w:eastAsia="ＭＳ 明朝"/>
                <w:color w:val="000000" w:themeColor="text1"/>
                <w:sz w:val="24"/>
              </w:rPr>
              <w:t>10</w:t>
            </w:r>
            <w:r>
              <w:rPr>
                <w:rFonts w:hint="eastAsia" w:ascii="ＭＳ 明朝" w:hAnsi="ＭＳ 明朝" w:eastAsia="ＭＳ 明朝"/>
                <w:color w:val="000000" w:themeColor="text1"/>
                <w:sz w:val="24"/>
              </w:rPr>
              <w:t>％以上／年</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□医療情報との突合</w:t>
            </w:r>
          </w:p>
          <w:p>
            <w:pPr>
              <w:pStyle w:val="0"/>
              <w:ind w:firstLine="240" w:firstLineChars="100"/>
              <w:jc w:val="both"/>
              <w:rPr>
                <w:rFonts w:hint="default" w:ascii="ＭＳ 明朝" w:hAnsi="ＭＳ 明朝" w:eastAsia="ＭＳ 明朝"/>
                <w:color w:val="000000" w:themeColor="text1"/>
                <w:sz w:val="24"/>
              </w:rPr>
            </w:pPr>
            <w:r>
              <w:rPr>
                <w:rFonts w:hint="eastAsia" w:ascii="ＭＳ 明朝" w:hAnsi="ＭＳ 明朝" w:eastAsia="ＭＳ 明朝"/>
                <w:color w:val="000000" w:themeColor="text1"/>
                <w:sz w:val="24"/>
              </w:rPr>
              <w:t>医療情報との突合リストにより、給付状況を確認する。</w:t>
            </w:r>
          </w:p>
          <w:p>
            <w:pPr>
              <w:pStyle w:val="0"/>
              <w:ind w:firstLine="720" w:firstLineChars="300"/>
              <w:jc w:val="both"/>
              <w:rPr>
                <w:rFonts w:hint="default"/>
                <w:color w:val="000000" w:themeColor="text1"/>
                <w:sz w:val="24"/>
              </w:rPr>
            </w:pPr>
            <w:r>
              <w:rPr>
                <w:rFonts w:hint="eastAsia" w:ascii="ＭＳ 明朝" w:hAnsi="ＭＳ 明朝" w:eastAsia="ＭＳ 明朝"/>
                <w:color w:val="000000" w:themeColor="text1"/>
                <w:sz w:val="24"/>
              </w:rPr>
              <w:t>目標回数　</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回以上／年</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w:t>
            </w:r>
            <w:r>
              <w:rPr>
                <w:rFonts w:hint="default" w:ascii="ＭＳ ゴシック" w:hAnsi="ＭＳ ゴシック" w:eastAsia="ＭＳ ゴシック"/>
                <w:color w:val="000000" w:themeColor="text1"/>
                <w:sz w:val="24"/>
              </w:rPr>
              <w:t>縦覧点検</w:t>
            </w:r>
          </w:p>
          <w:p>
            <w:pPr>
              <w:pStyle w:val="0"/>
              <w:jc w:val="both"/>
              <w:rPr>
                <w:rFonts w:hint="default" w:ascii="ＭＳ 明朝" w:hAnsi="ＭＳ 明朝" w:eastAsia="ＭＳ 明朝"/>
                <w:color w:val="C00000"/>
                <w:sz w:val="24"/>
              </w:rPr>
            </w:pPr>
            <w:r>
              <w:rPr>
                <w:rFonts w:hint="eastAsia"/>
                <w:color w:val="000000" w:themeColor="text1"/>
                <w:sz w:val="24"/>
              </w:rPr>
              <w:t>　</w:t>
            </w:r>
            <w:r>
              <w:rPr>
                <w:rFonts w:hint="eastAsia" w:ascii="ＭＳ 明朝" w:hAnsi="ＭＳ 明朝" w:eastAsia="ＭＳ 明朝"/>
                <w:color w:val="000000" w:themeColor="text1"/>
                <w:sz w:val="24"/>
              </w:rPr>
              <w:t>縦覧点検一覧表により、重複請求などの疑義等の確認を行う</w:t>
            </w:r>
            <w:r>
              <w:rPr>
                <w:rFonts w:hint="eastAsia" w:ascii="ＭＳ 明朝" w:hAnsi="ＭＳ 明朝" w:eastAsia="ＭＳ 明朝"/>
                <w:sz w:val="24"/>
              </w:rPr>
              <w:t>。</w:t>
            </w:r>
          </w:p>
          <w:p>
            <w:pPr>
              <w:pStyle w:val="0"/>
              <w:jc w:val="both"/>
              <w:rPr>
                <w:rFonts w:hint="default"/>
                <w:color w:val="000000" w:themeColor="text1"/>
                <w:sz w:val="24"/>
              </w:rPr>
            </w:pPr>
            <w:r>
              <w:rPr>
                <w:rFonts w:hint="eastAsia" w:ascii="ＭＳ 明朝" w:hAnsi="ＭＳ 明朝" w:eastAsia="ＭＳ 明朝"/>
                <w:color w:val="000000" w:themeColor="text1"/>
                <w:sz w:val="24"/>
              </w:rPr>
              <w:t>　　　目標回数　</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回以上／年</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w:t>
            </w:r>
            <w:r>
              <w:rPr>
                <w:rFonts w:hint="default" w:ascii="ＭＳ ゴシック" w:hAnsi="ＭＳ ゴシック" w:eastAsia="ＭＳ ゴシック"/>
                <w:color w:val="000000" w:themeColor="text1"/>
                <w:sz w:val="24"/>
              </w:rPr>
              <w:t>介護給付費通知</w:t>
            </w:r>
          </w:p>
          <w:p>
            <w:pPr>
              <w:pStyle w:val="0"/>
              <w:jc w:val="both"/>
              <w:rPr>
                <w:rFonts w:hint="default" w:ascii="ＭＳ 明朝" w:hAnsi="ＭＳ 明朝" w:eastAsia="ＭＳ 明朝"/>
                <w:color w:val="C00000"/>
                <w:sz w:val="24"/>
              </w:rPr>
            </w:pPr>
            <w:r>
              <w:rPr>
                <w:rFonts w:hint="eastAsia"/>
                <w:color w:val="000000" w:themeColor="text1"/>
                <w:sz w:val="24"/>
              </w:rPr>
              <w:t>　</w:t>
            </w:r>
            <w:r>
              <w:rPr>
                <w:rFonts w:hint="eastAsia" w:ascii="ＭＳ 明朝" w:hAnsi="ＭＳ 明朝" w:eastAsia="ＭＳ 明朝"/>
                <w:color w:val="000000" w:themeColor="text1"/>
                <w:sz w:val="24"/>
              </w:rPr>
              <w:t>介護保険サービス利用者へ利用実績を通知する。</w:t>
            </w:r>
          </w:p>
          <w:p>
            <w:pPr>
              <w:pStyle w:val="0"/>
              <w:jc w:val="both"/>
              <w:rPr>
                <w:rFonts w:hint="default"/>
                <w:color w:val="000000" w:themeColor="text1"/>
                <w:sz w:val="24"/>
              </w:rPr>
            </w:pPr>
            <w:r>
              <w:rPr>
                <w:rFonts w:hint="eastAsia" w:ascii="ＭＳ 明朝" w:hAnsi="ＭＳ 明朝" w:eastAsia="ＭＳ 明朝"/>
                <w:color w:val="000000" w:themeColor="text1"/>
                <w:sz w:val="24"/>
              </w:rPr>
              <w:t>　　　目標月数　全月数</w:t>
            </w:r>
          </w:p>
          <w:p>
            <w:pPr>
              <w:pStyle w:val="0"/>
              <w:jc w:val="both"/>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□給付</w:t>
            </w:r>
            <w:r>
              <w:rPr>
                <w:rFonts w:hint="default" w:ascii="ＭＳ ゴシック" w:hAnsi="ＭＳ ゴシック" w:eastAsia="ＭＳ ゴシック"/>
                <w:color w:val="000000" w:themeColor="text1"/>
                <w:sz w:val="24"/>
              </w:rPr>
              <w:t>実績の活用</w:t>
            </w:r>
          </w:p>
          <w:p>
            <w:pPr>
              <w:pStyle w:val="0"/>
              <w:ind w:left="240" w:right="-101" w:rightChars="-42" w:hanging="240" w:hangingChars="100"/>
              <w:jc w:val="both"/>
              <w:rPr>
                <w:rFonts w:hint="default" w:ascii="ＭＳ 明朝" w:hAnsi="ＭＳ 明朝" w:eastAsia="ＭＳ 明朝"/>
                <w:color w:val="000000" w:themeColor="text1"/>
                <w:sz w:val="24"/>
              </w:rPr>
            </w:pPr>
            <w:r>
              <w:rPr>
                <w:rFonts w:hint="eastAsia"/>
                <w:color w:val="000000" w:themeColor="text1"/>
                <w:sz w:val="24"/>
              </w:rPr>
              <w:t>　</w:t>
            </w:r>
            <w:r>
              <w:rPr>
                <w:rFonts w:hint="eastAsia" w:ascii="ＭＳ 明朝" w:hAnsi="ＭＳ 明朝" w:eastAsia="ＭＳ 明朝"/>
                <w:color w:val="000000" w:themeColor="text1"/>
                <w:sz w:val="24"/>
              </w:rPr>
              <w:t>ケアプランチェックと並行し、給付実績等の情報を活用して、不適正な給付がないか確認する。</w:t>
            </w:r>
          </w:p>
          <w:p>
            <w:pPr>
              <w:pStyle w:val="0"/>
              <w:jc w:val="both"/>
              <w:rPr>
                <w:rFonts w:hint="default" w:ascii="ＭＳ ゴシック" w:hAnsi="ＭＳ ゴシック" w:eastAsia="ＭＳ ゴシック"/>
                <w:color w:val="C00000"/>
                <w:sz w:val="24"/>
              </w:rPr>
            </w:pPr>
            <w:r>
              <w:rPr>
                <w:rFonts w:hint="eastAsia" w:ascii="ＭＳ 明朝" w:hAnsi="ＭＳ 明朝" w:eastAsia="ＭＳ 明朝"/>
                <w:color w:val="000000" w:themeColor="text1"/>
                <w:sz w:val="24"/>
              </w:rPr>
              <w:t>　　　目標回数　</w:t>
            </w:r>
            <w:r>
              <w:rPr>
                <w:rFonts w:hint="eastAsia" w:ascii="ＭＳ 明朝" w:hAnsi="ＭＳ 明朝" w:eastAsia="ＭＳ 明朝"/>
                <w:color w:val="000000" w:themeColor="text1"/>
                <w:sz w:val="24"/>
              </w:rPr>
              <w:t>12</w:t>
            </w:r>
            <w:r>
              <w:rPr>
                <w:rFonts w:hint="eastAsia" w:ascii="ＭＳ 明朝" w:hAnsi="ＭＳ 明朝" w:eastAsia="ＭＳ 明朝"/>
                <w:color w:val="000000" w:themeColor="text1"/>
                <w:sz w:val="24"/>
              </w:rPr>
              <w:t>回以上／年</w:t>
            </w:r>
          </w:p>
        </w:tc>
      </w:tr>
    </w:tbl>
    <w:p>
      <w:pPr>
        <w:pStyle w:val="5"/>
        <w:ind w:left="0" w:leftChars="0" w:firstLine="240" w:firstLineChars="100"/>
        <w:jc w:val="both"/>
        <w:rPr>
          <w:rFonts w:hint="default"/>
        </w:rPr>
      </w:pPr>
      <w:bookmarkStart w:id="159" w:name="_Toc512263486"/>
      <w:bookmarkEnd w:id="159"/>
      <w:bookmarkStart w:id="160" w:name="_Toc59007859"/>
      <w:r>
        <w:rPr>
          <w:rFonts w:hint="eastAsia" w:ascii="ＭＳ ゴシック" w:hAnsi="ＭＳ ゴシック" w:eastAsia="ＭＳ ゴシック"/>
        </w:rPr>
        <w:t>ウ）社会福祉法人による介護保険サービス利用者負担軽減措置</w:t>
      </w:r>
      <w:bookmarkEnd w:id="160"/>
    </w:p>
    <w:p>
      <w:pPr>
        <w:pStyle w:val="0"/>
        <w:ind w:left="480" w:leftChars="100" w:hanging="240" w:hangingChars="100"/>
        <w:jc w:val="both"/>
        <w:rPr>
          <w:rFonts w:hint="default"/>
        </w:rPr>
      </w:pPr>
      <w:r>
        <w:rPr>
          <w:rFonts w:hint="eastAsia"/>
        </w:rPr>
        <w:t>○　社会福祉法人による「介護保険サービス利用者負担軽減措置」は、低所得で特に生計が困難な高齢者に対し、介護保険サービスの提供を行う社会福祉法人等が利用者負担を軽減することにより、介護保険サービスの利用促進を図ることを目的とする制度です。</w:t>
      </w:r>
    </w:p>
    <w:p>
      <w:pPr>
        <w:pStyle w:val="0"/>
        <w:ind w:left="480" w:leftChars="100" w:hanging="240" w:hangingChars="100"/>
        <w:jc w:val="both"/>
        <w:rPr>
          <w:rFonts w:hint="default"/>
        </w:rPr>
      </w:pPr>
      <w:r>
        <w:rPr>
          <w:rFonts w:hint="eastAsia"/>
        </w:rPr>
        <w:t>○　本市においては、引き続き「介護保険サービス利用者負担軽減措置」制度を広く周知します。</w:t>
      </w:r>
    </w:p>
    <w:p>
      <w:pPr>
        <w:pStyle w:val="0"/>
        <w:jc w:val="both"/>
        <w:rPr>
          <w:rFonts w:hint="default"/>
          <w:color w:val="C00000"/>
        </w:rPr>
      </w:pPr>
    </w:p>
    <w:p>
      <w:pPr>
        <w:pStyle w:val="5"/>
        <w:ind w:left="0" w:leftChars="0" w:firstLine="240" w:firstLineChars="100"/>
        <w:jc w:val="both"/>
        <w:rPr>
          <w:rFonts w:hint="default" w:ascii="ＭＳ ゴシック" w:hAnsi="ＭＳ ゴシック" w:eastAsia="ＭＳ ゴシック"/>
        </w:rPr>
      </w:pPr>
      <w:bookmarkStart w:id="161" w:name="_Toc512263487"/>
      <w:bookmarkEnd w:id="161"/>
      <w:bookmarkStart w:id="162" w:name="_Toc59007860"/>
      <w:r>
        <w:rPr>
          <w:rFonts w:hint="eastAsia" w:ascii="ＭＳ ゴシック" w:hAnsi="ＭＳ ゴシック" w:eastAsia="ＭＳ ゴシック"/>
        </w:rPr>
        <w:t>エ）介護サービス評価専門員による評価</w:t>
      </w:r>
      <w:bookmarkEnd w:id="162"/>
    </w:p>
    <w:p>
      <w:pPr>
        <w:pStyle w:val="0"/>
        <w:ind w:left="480" w:leftChars="100" w:hanging="240" w:hangingChars="100"/>
        <w:jc w:val="both"/>
        <w:rPr>
          <w:rFonts w:hint="default"/>
        </w:rPr>
      </w:pPr>
      <w:r>
        <w:rPr>
          <w:rFonts w:hint="eastAsia"/>
        </w:rPr>
        <w:t>○　引き続き、介護サービス評価専門員を設置し、地域包括支援センター、指定地域密着型サービス事業者及び指定地域密着型介護予防サービス事業者の運営、その他介護サービスに関する事項に関し、公正かつ中立的な立場で意見を述べ、事業運営の評価を行います。</w:t>
      </w:r>
    </w:p>
    <w:p>
      <w:pPr>
        <w:pStyle w:val="0"/>
        <w:tabs>
          <w:tab w:val="left" w:leader="none" w:pos="360"/>
        </w:tabs>
        <w:autoSpaceDE w:val="0"/>
        <w:autoSpaceDN w:val="0"/>
        <w:adjustRightInd w:val="0"/>
        <w:ind w:left="480" w:leftChars="100" w:hanging="240" w:hangingChars="100"/>
        <w:jc w:val="both"/>
        <w:rPr>
          <w:rFonts w:hint="default"/>
          <w:color w:val="000000" w:themeColor="text1"/>
        </w:rPr>
      </w:pPr>
      <w:r>
        <w:rPr>
          <w:rFonts w:hint="eastAsia"/>
          <w:color w:val="000000" w:themeColor="text1"/>
        </w:rPr>
        <w:t>○　第７期計画以降、地域課題を分析し、高齢者の自立支援や重度化防止の取組に関する目標を計画に記載するとともに、施策の実績評価や目標の達成状況の公表を行うＰＤＣＡサイクルの推進による保険者機能の強化が求められています。そのため、「箕面市介護サービス評価専門員会議」において本計画の評価を行い、目標の進捗状況に応じて、必要な改善策や目標の見直し等について検討を行っていきます。</w:t>
      </w:r>
    </w:p>
    <w:p>
      <w:pPr>
        <w:pStyle w:val="0"/>
        <w:ind w:left="480" w:leftChars="100" w:hanging="240" w:hangingChars="100"/>
        <w:jc w:val="both"/>
        <w:rPr>
          <w:rFonts w:hint="default"/>
        </w:rPr>
      </w:pPr>
      <w:r>
        <w:rPr>
          <w:rFonts w:hint="eastAsia"/>
        </w:rPr>
        <w:t>○　認知症対応型共同生活介護、小規模多機能型居宅介護、地域密着型介護老人福祉施設入所者生活介護、定期巡回・随時対応型訪問介護看護等を実施する事業者が設置する運営推進会議に、介護サービス評価専門員が市の職員とともに出席し、利用者やその家族等の意見を聴き、また、中立的な立場から意見を述べ、評価を行うことにより、より地域に開かれたサービス提供基盤の確保とサービスの質の向上を図っていきます。</w:t>
      </w:r>
    </w:p>
    <w:p>
      <w:pPr>
        <w:pStyle w:val="0"/>
        <w:ind w:left="480" w:leftChars="100" w:hanging="240" w:hangingChars="100"/>
        <w:rPr>
          <w:rFonts w:hint="default"/>
        </w:rPr>
      </w:pPr>
    </w:p>
    <w:p>
      <w:pPr>
        <w:pStyle w:val="0"/>
        <w:ind w:left="480" w:leftChars="100" w:hanging="240" w:hangingChars="100"/>
        <w:rPr>
          <w:rFonts w:hint="default"/>
        </w:rPr>
      </w:pPr>
    </w:p>
    <w:p>
      <w:pPr>
        <w:pStyle w:val="0"/>
        <w:ind w:left="480" w:leftChars="100" w:hanging="240" w:hangingChars="100"/>
        <w:rPr>
          <w:rFonts w:hint="default"/>
        </w:rPr>
      </w:pPr>
    </w:p>
    <w:p>
      <w:pPr>
        <w:rPr>
          <w:rFonts w:hint="default" w:ascii="メイリオ" w:hAnsi="メイリオ" w:eastAsia="メイリオ"/>
          <w:b w:val="1"/>
          <w:sz w:val="32"/>
          <w:u w:val="single" w:color="auto"/>
        </w:rPr>
        <w:sectPr>
          <w:pgSz w:w="11906" w:h="16838"/>
          <w:pgMar w:top="1440" w:right="1080" w:bottom="1440" w:left="1080" w:header="851" w:footer="454" w:gutter="0"/>
          <w:cols w:space="720"/>
          <w:textDirection w:val="lrTb"/>
          <w:docGrid w:type="lines" w:linePitch="360"/>
        </w:sectPr>
      </w:pPr>
    </w:p>
    <w:p>
      <w:pPr>
        <w:pStyle w:val="3"/>
        <w:ind w:left="0" w:leftChars="0"/>
        <w:rPr>
          <w:rFonts w:hint="default" w:ascii="メイリオ" w:hAnsi="メイリオ" w:eastAsia="メイリオ"/>
          <w:b w:val="1"/>
          <w:sz w:val="28"/>
          <w:u w:val="single" w:color="auto"/>
        </w:rPr>
      </w:pPr>
      <w:bookmarkStart w:id="163" w:name="_Toc59007861"/>
      <w:r>
        <w:rPr>
          <w:rFonts w:hint="eastAsia" w:ascii="メイリオ" w:hAnsi="メイリオ" w:eastAsia="メイリオ"/>
          <w:b w:val="1"/>
          <w:sz w:val="32"/>
          <w:u w:val="single" w:color="auto"/>
        </w:rPr>
        <w:t>５．安全・安心のまちづくりの推進</w:t>
      </w:r>
      <w:bookmarkEnd w:id="163"/>
      <w:r>
        <w:rPr>
          <w:rFonts w:hint="eastAsia" w:ascii="メイリオ" w:hAnsi="メイリオ" w:eastAsia="メイリオ"/>
          <w:b w:val="1"/>
          <w:sz w:val="32"/>
          <w:u w:val="single" w:color="auto"/>
        </w:rPr>
        <w:t>　　　　　　　　　　　　　　　　　　　　　</w:t>
      </w:r>
    </w:p>
    <w:p>
      <w:pPr>
        <w:pStyle w:val="4"/>
        <w:ind w:left="0" w:leftChars="0"/>
        <w:jc w:val="both"/>
        <w:rPr>
          <w:rFonts w:hint="default" w:ascii="ＭＳ ゴシック" w:hAnsi="ＭＳ ゴシック" w:eastAsia="ＭＳ ゴシック"/>
          <w:b w:val="0"/>
          <w:sz w:val="28"/>
        </w:rPr>
      </w:pPr>
      <w:bookmarkStart w:id="164" w:name="_Toc512263489"/>
      <w:bookmarkEnd w:id="164"/>
      <w:bookmarkStart w:id="165" w:name="_Toc59007862"/>
      <w:r>
        <w:rPr>
          <w:rFonts w:hint="eastAsia" w:ascii="ＭＳ ゴシック" w:hAnsi="ＭＳ ゴシック" w:eastAsia="ＭＳ ゴシック"/>
          <w:b w:val="0"/>
          <w:sz w:val="28"/>
        </w:rPr>
        <w:t>（１）福祉のまちづくりの推進</w:t>
      </w:r>
      <w:bookmarkEnd w:id="165"/>
    </w:p>
    <w:p>
      <w:pPr>
        <w:pStyle w:val="5"/>
        <w:ind w:left="0" w:leftChars="0" w:firstLine="240" w:firstLineChars="100"/>
        <w:jc w:val="both"/>
        <w:rPr>
          <w:rFonts w:hint="default"/>
        </w:rPr>
      </w:pPr>
      <w:bookmarkStart w:id="166" w:name="_Toc512263490"/>
      <w:bookmarkEnd w:id="166"/>
      <w:bookmarkStart w:id="167" w:name="_Toc59007863"/>
      <w:r>
        <w:rPr>
          <w:rFonts w:hint="eastAsia" w:ascii="ＭＳ ゴシック" w:hAnsi="ＭＳ ゴシック" w:eastAsia="ＭＳ ゴシック"/>
        </w:rPr>
        <w:t>ア）バリアフリーのまちづくりの推進</w:t>
      </w:r>
      <w:bookmarkEnd w:id="167"/>
    </w:p>
    <w:p>
      <w:pPr>
        <w:pStyle w:val="0"/>
        <w:ind w:left="480" w:leftChars="100" w:hanging="240" w:hangingChars="100"/>
        <w:jc w:val="both"/>
        <w:rPr>
          <w:rFonts w:hint="default"/>
        </w:rPr>
      </w:pPr>
      <w:r>
        <w:rPr>
          <w:rFonts w:hint="eastAsia"/>
        </w:rPr>
        <w:t>○　</w:t>
      </w:r>
      <w:r>
        <w:rPr>
          <w:rFonts w:hint="eastAsia"/>
          <w:color w:val="000000" w:themeColor="text1"/>
        </w:rPr>
        <w:t>「大阪府福祉のまちづくり条例」に定める基準を基本とし、「箕面市まちづくり推進条例」の「福祉のまち整備に関する事項」、「箕面市都市計画マスタープラン」における「福祉のまちの方針」及び「高齢者、障害者等の移動等の円滑化の促進に関する法律（バリアフリー法）」（平成</w:t>
      </w:r>
      <w:r>
        <w:rPr>
          <w:rFonts w:hint="default"/>
          <w:color w:val="000000" w:themeColor="text1"/>
        </w:rPr>
        <w:t>18</w:t>
      </w:r>
      <w:r>
        <w:rPr>
          <w:rFonts w:hint="default"/>
          <w:color w:val="000000" w:themeColor="text1"/>
        </w:rPr>
        <w:t>年法律第</w:t>
      </w:r>
      <w:r>
        <w:rPr>
          <w:rFonts w:hint="default"/>
          <w:color w:val="000000" w:themeColor="text1"/>
        </w:rPr>
        <w:t>91</w:t>
      </w:r>
      <w:r>
        <w:rPr>
          <w:rFonts w:hint="default"/>
          <w:color w:val="000000" w:themeColor="text1"/>
        </w:rPr>
        <w:t>号）に基づき、誰もが安全</w:t>
      </w:r>
      <w:r>
        <w:rPr>
          <w:rFonts w:hint="eastAsia"/>
          <w:color w:val="000000" w:themeColor="text1"/>
        </w:rPr>
        <w:t>で</w:t>
      </w:r>
      <w:r>
        <w:rPr>
          <w:rFonts w:hint="default"/>
          <w:color w:val="000000" w:themeColor="text1"/>
        </w:rPr>
        <w:t>安心して暮ら</w:t>
      </w:r>
      <w:r>
        <w:rPr>
          <w:rFonts w:hint="eastAsia"/>
          <w:color w:val="000000" w:themeColor="text1"/>
        </w:rPr>
        <w:t>せる</w:t>
      </w:r>
      <w:r>
        <w:rPr>
          <w:rFonts w:hint="default"/>
          <w:color w:val="000000" w:themeColor="text1"/>
        </w:rPr>
        <w:t>まちづくりに</w:t>
      </w:r>
      <w:r>
        <w:rPr>
          <w:rFonts w:hint="eastAsia"/>
          <w:color w:val="000000" w:themeColor="text1"/>
        </w:rPr>
        <w:t>取り組み</w:t>
      </w:r>
      <w:r>
        <w:rPr>
          <w:rFonts w:hint="default"/>
          <w:color w:val="000000" w:themeColor="text1"/>
        </w:rPr>
        <w:t>ます。</w:t>
      </w:r>
    </w:p>
    <w:p>
      <w:pPr>
        <w:pStyle w:val="0"/>
        <w:ind w:left="480" w:leftChars="100" w:hanging="240" w:hangingChars="100"/>
        <w:jc w:val="both"/>
        <w:rPr>
          <w:rFonts w:hint="default"/>
        </w:rPr>
      </w:pPr>
      <w:r>
        <w:rPr>
          <w:rFonts w:hint="eastAsia"/>
        </w:rPr>
        <w:t>○　都市施設（多数の者が利用する建築物、道路、公園等）のバリアフリー化、ユニバーサルデザインの視点を重視した整備を推進します。また、その推進にあっては、市民・事業者・市の協働による研究や工夫を行うとともに、</w:t>
      </w:r>
      <w:r>
        <w:rPr>
          <w:rFonts w:hint="eastAsia"/>
          <w:color w:val="000000" w:themeColor="text1"/>
        </w:rPr>
        <w:t>多数の利用者が見込まれる民間施設についても同様に協議、指導に努めます。</w:t>
      </w:r>
    </w:p>
    <w:p>
      <w:pPr>
        <w:pStyle w:val="0"/>
        <w:jc w:val="both"/>
        <w:rPr>
          <w:rFonts w:hint="default"/>
          <w:color w:val="C00000"/>
        </w:rPr>
      </w:pPr>
    </w:p>
    <w:p>
      <w:pPr>
        <w:pStyle w:val="5"/>
        <w:ind w:left="0" w:leftChars="0" w:firstLine="240" w:firstLineChars="100"/>
        <w:jc w:val="both"/>
        <w:rPr>
          <w:rFonts w:hint="default"/>
        </w:rPr>
      </w:pPr>
      <w:bookmarkStart w:id="168" w:name="_Toc512263491"/>
      <w:bookmarkEnd w:id="168"/>
      <w:bookmarkStart w:id="169" w:name="_Toc59007864"/>
      <w:r>
        <w:rPr>
          <w:rFonts w:hint="eastAsia" w:ascii="ＭＳ ゴシック" w:hAnsi="ＭＳ ゴシック" w:eastAsia="ＭＳ ゴシック"/>
        </w:rPr>
        <w:t>イ）移動支援サービスの整備</w:t>
      </w:r>
      <w:bookmarkEnd w:id="169"/>
    </w:p>
    <w:p>
      <w:pPr>
        <w:pStyle w:val="0"/>
        <w:ind w:left="480" w:leftChars="100" w:hanging="240" w:hangingChars="100"/>
        <w:jc w:val="both"/>
        <w:rPr>
          <w:rFonts w:hint="default"/>
          <w:color w:val="000000" w:themeColor="text1"/>
        </w:rPr>
      </w:pPr>
      <w:r>
        <w:rPr>
          <w:rFonts w:hint="eastAsia"/>
          <w:color w:val="000000" w:themeColor="text1"/>
        </w:rPr>
        <w:t>○　高齢者の閉じこもりを防止し、自立と社会参加・交流を促進するため、オレンジゆずるバス等による市内移動の充実や、路線バス事業者によるノンステップバスの導入など、公共交通機関による移動の円滑化・利便性向上を図り、地域におけるバリアフリー交通網を整備します。</w:t>
      </w:r>
    </w:p>
    <w:p>
      <w:pPr>
        <w:pStyle w:val="0"/>
        <w:autoSpaceDE w:val="0"/>
        <w:autoSpaceDN w:val="0"/>
        <w:adjustRightInd w:val="0"/>
        <w:ind w:left="480" w:leftChars="100" w:hanging="240" w:hangingChars="100"/>
        <w:jc w:val="both"/>
        <w:rPr>
          <w:rFonts w:hint="default"/>
          <w:color w:val="000000" w:themeColor="text1"/>
          <w:u w:val="single" w:color="auto"/>
        </w:rPr>
      </w:pPr>
      <w:r>
        <w:rPr>
          <w:rFonts w:hint="default"/>
          <w:color w:val="000000" w:themeColor="text1"/>
        </w:rPr>
        <w:t>○</w:t>
      </w:r>
      <w:r>
        <w:rPr>
          <w:rFonts w:hint="eastAsia"/>
          <w:color w:val="000000" w:themeColor="text1"/>
        </w:rPr>
        <w:t>　</w:t>
      </w:r>
      <w:r>
        <w:rPr>
          <w:rFonts w:hint="default"/>
          <w:color w:val="000000" w:themeColor="text1"/>
        </w:rPr>
        <w:t>今後、高齢化の進展により自家用車の運転を控える市民が増えることや環境負荷の軽減を図っていく上で、バスによる移動の促進がますます重要となることから、買い物、通学、通勤、通院、お出かけなど、誰もが気軽に乗れるコミュニティバスとして「オレンジゆずるバス」を運行しています。同バスでは</w:t>
      </w:r>
      <w:r>
        <w:rPr>
          <w:rFonts w:hint="eastAsia"/>
          <w:color w:val="000000" w:themeColor="text1"/>
        </w:rPr>
        <w:t>70</w:t>
      </w:r>
      <w:r>
        <w:rPr>
          <w:rFonts w:hint="default"/>
          <w:color w:val="000000" w:themeColor="text1"/>
        </w:rPr>
        <w:t>歳以上の高齢者</w:t>
      </w:r>
      <w:r>
        <w:rPr>
          <w:rFonts w:hint="eastAsia"/>
          <w:color w:val="000000" w:themeColor="text1"/>
        </w:rPr>
        <w:t>、</w:t>
      </w:r>
      <w:r>
        <w:rPr>
          <w:rFonts w:hint="default"/>
          <w:color w:val="000000" w:themeColor="text1"/>
        </w:rPr>
        <w:t>障害者の割引運賃を導入しており、高齢者の閉じこもり・孤立化の防止、外出・交流促進の観点から、引き続き</w:t>
      </w:r>
      <w:r>
        <w:rPr>
          <w:rFonts w:hint="eastAsia"/>
          <w:color w:val="000000" w:themeColor="text1"/>
        </w:rPr>
        <w:t>介護予防</w:t>
      </w:r>
      <w:r>
        <w:rPr>
          <w:rFonts w:hint="default"/>
          <w:color w:val="000000" w:themeColor="text1"/>
        </w:rPr>
        <w:t>に位置づけて支援します。</w:t>
      </w:r>
    </w:p>
    <w:p>
      <w:pPr>
        <w:pStyle w:val="0"/>
        <w:ind w:left="480" w:leftChars="100" w:hanging="240" w:hangingChars="100"/>
        <w:jc w:val="both"/>
        <w:rPr>
          <w:rFonts w:hint="default"/>
          <w:color w:val="C00000"/>
        </w:rPr>
      </w:pPr>
      <w:r>
        <w:rPr>
          <w:rFonts w:hint="eastAsia"/>
          <w:color w:val="000000" w:themeColor="text1"/>
        </w:rPr>
        <w:t>○　移動困難者の移動をより便利に円滑にするために、持続可能な福祉輸送を検証するため、福祉有償運送のモデル事業を実施しています。この事業は、平成</w:t>
      </w:r>
      <w:r>
        <w:rPr>
          <w:rFonts w:hint="eastAsia"/>
          <w:color w:val="000000" w:themeColor="text1"/>
        </w:rPr>
        <w:t>27</w:t>
      </w:r>
      <w:r>
        <w:rPr>
          <w:rFonts w:hint="eastAsia"/>
          <w:color w:val="000000" w:themeColor="text1"/>
        </w:rPr>
        <w:t>年（</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月から、箕面市シルバー人材センターが市の補助を受け、高齢者や障害者など、一人では公共交通機関の利用が困難なかたを対象に福祉有償運送「オレンジゆずるタクシー」を運営するものです。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4"/>
        <w:ind w:left="0" w:leftChars="0"/>
        <w:jc w:val="both"/>
        <w:rPr>
          <w:rFonts w:hint="default" w:ascii="ＭＳ ゴシック" w:hAnsi="ＭＳ ゴシック" w:eastAsia="ＭＳ ゴシック"/>
          <w:b w:val="0"/>
          <w:sz w:val="28"/>
        </w:rPr>
      </w:pPr>
      <w:bookmarkStart w:id="170" w:name="_Toc512263492"/>
      <w:bookmarkEnd w:id="170"/>
      <w:bookmarkStart w:id="171" w:name="_Toc59007865"/>
      <w:r>
        <w:rPr>
          <w:rFonts w:hint="eastAsia" w:ascii="ＭＳ ゴシック" w:hAnsi="ＭＳ ゴシック" w:eastAsia="ＭＳ ゴシック"/>
          <w:b w:val="0"/>
          <w:sz w:val="28"/>
        </w:rPr>
        <w:t>（２）高齢者の住環境の整備</w:t>
      </w:r>
      <w:bookmarkEnd w:id="171"/>
    </w:p>
    <w:p>
      <w:pPr>
        <w:pStyle w:val="5"/>
        <w:ind w:left="0" w:leftChars="0" w:firstLine="240" w:firstLineChars="100"/>
        <w:jc w:val="both"/>
        <w:rPr>
          <w:rFonts w:hint="default"/>
        </w:rPr>
      </w:pPr>
      <w:bookmarkStart w:id="172" w:name="_Toc512263493"/>
      <w:bookmarkEnd w:id="172"/>
      <w:bookmarkStart w:id="173" w:name="_Toc59007866"/>
      <w:r>
        <w:rPr>
          <w:rFonts w:hint="eastAsia" w:ascii="ＭＳ ゴシック" w:hAnsi="ＭＳ ゴシック" w:eastAsia="ＭＳ ゴシック"/>
        </w:rPr>
        <w:t>ア）公営住宅の整備と住宅のバリアフリー化</w:t>
      </w:r>
      <w:bookmarkEnd w:id="173"/>
    </w:p>
    <w:p>
      <w:pPr>
        <w:pStyle w:val="0"/>
        <w:ind w:left="480" w:leftChars="100" w:hanging="240" w:hangingChars="100"/>
        <w:jc w:val="both"/>
        <w:rPr>
          <w:rFonts w:hint="default"/>
        </w:rPr>
      </w:pPr>
      <w:r>
        <w:rPr>
          <w:rFonts w:hint="eastAsia"/>
        </w:rPr>
        <w:t>○　既存の市営住宅については、「市営住宅等供給・管理のあり方について」（平成</w:t>
      </w:r>
      <w:r>
        <w:rPr>
          <w:rFonts w:hint="default"/>
        </w:rPr>
        <w:t>20</w:t>
      </w:r>
      <w:r>
        <w:rPr>
          <w:rFonts w:hint="default"/>
        </w:rPr>
        <w:t>年</w:t>
      </w:r>
      <w:r>
        <w:rPr>
          <w:rFonts w:hint="eastAsia"/>
        </w:rPr>
        <w:t>(</w:t>
      </w:r>
      <w:r>
        <w:rPr>
          <w:rFonts w:hint="default"/>
        </w:rPr>
        <w:t>2008</w:t>
      </w:r>
      <w:r>
        <w:rPr>
          <w:rFonts w:hint="default"/>
        </w:rPr>
        <w:t>年</w:t>
      </w:r>
      <w:r>
        <w:rPr>
          <w:rFonts w:hint="eastAsia"/>
        </w:rPr>
        <w:t>)</w:t>
      </w:r>
      <w:r>
        <w:rPr>
          <w:rFonts w:hint="default"/>
        </w:rPr>
        <w:t>５月）の検討結果を受けて、高齢者を</w:t>
      </w:r>
      <w:r>
        <w:rPr>
          <w:rFonts w:hint="eastAsia"/>
        </w:rPr>
        <w:t>はじめ</w:t>
      </w:r>
      <w:r>
        <w:rPr>
          <w:rFonts w:hint="default"/>
        </w:rPr>
        <w:t>とする入居者が安全で安心して日常生活を送ることができるよう、可能な限り高齢者・障害者対応の住戸改善を行う等、市営住宅の機能の強化やより一層のバリアフリー化に努めます。</w:t>
      </w:r>
    </w:p>
    <w:p>
      <w:pPr>
        <w:pStyle w:val="0"/>
        <w:ind w:left="480" w:leftChars="100" w:hanging="240" w:hangingChars="100"/>
        <w:jc w:val="both"/>
        <w:rPr>
          <w:rFonts w:hint="default"/>
        </w:rPr>
      </w:pPr>
      <w:r>
        <w:rPr>
          <w:rFonts w:hint="eastAsia"/>
        </w:rPr>
        <w:t>○　民間住宅については、引き続き、介護保険制度の住宅改修の活用を図りながら、高齢者や介護者の立場・視点から、要支援・要介護認定者や介護者のニーズに応じた、日常生活や介護を行いやすい住宅改修（バリアフリー化）を支援します。また、介護予防の観点から、要支援・要介護認定者以外で支援を必要としている高齢者が生活する住宅改修に対する相談・支援体制についても引き続き充実を図ります。</w:t>
      </w:r>
    </w:p>
    <w:p>
      <w:pPr>
        <w:pStyle w:val="0"/>
        <w:ind w:left="480" w:leftChars="100" w:hanging="240" w:hangingChars="100"/>
        <w:jc w:val="both"/>
        <w:rPr>
          <w:rFonts w:hint="default"/>
        </w:rPr>
      </w:pPr>
      <w:r>
        <w:rPr>
          <w:rFonts w:hint="eastAsia"/>
        </w:rPr>
        <w:t>○　平成</w:t>
      </w:r>
      <w:r>
        <w:rPr>
          <w:rFonts w:hint="default"/>
        </w:rPr>
        <w:t>22</w:t>
      </w:r>
      <w:r>
        <w:rPr>
          <w:rFonts w:hint="default"/>
        </w:rPr>
        <w:t>年</w:t>
      </w:r>
      <w:r>
        <w:rPr>
          <w:rFonts w:hint="eastAsia"/>
        </w:rPr>
        <w:t>(</w:t>
      </w:r>
      <w:r>
        <w:rPr>
          <w:rFonts w:hint="default"/>
        </w:rPr>
        <w:t>2010</w:t>
      </w:r>
      <w:r>
        <w:rPr>
          <w:rFonts w:hint="default"/>
        </w:rPr>
        <w:t>年</w:t>
      </w:r>
      <w:r>
        <w:rPr>
          <w:rFonts w:hint="eastAsia"/>
        </w:rPr>
        <w:t>)</w:t>
      </w:r>
      <w:r>
        <w:rPr>
          <w:rFonts w:hint="default"/>
        </w:rPr>
        <w:t>10</w:t>
      </w:r>
      <w:r>
        <w:rPr>
          <w:rFonts w:hint="default"/>
        </w:rPr>
        <w:t>月に策定した「箕面市住宅マスタープラン</w:t>
      </w:r>
      <w:r>
        <w:rPr>
          <w:rFonts w:hint="eastAsia"/>
        </w:rPr>
        <w:t>(</w:t>
      </w:r>
      <w:r>
        <w:rPr>
          <w:rFonts w:hint="default"/>
        </w:rPr>
        <w:t>2010)</w:t>
      </w:r>
      <w:r>
        <w:rPr>
          <w:rFonts w:hint="default"/>
        </w:rPr>
        <w:t>」において、高齢者が住み慣れた住まいや地域で安心して住み続けられるよう、住まいにおけるバリアフリー改修に取り組むこと、また、建替を行う場合には、ユニバーサルデザインの住宅供給を進めることを、取組の方向として位置づけており、実現に向けた取組を推進します。</w:t>
      </w:r>
    </w:p>
    <w:p>
      <w:pPr>
        <w:pStyle w:val="0"/>
        <w:rPr>
          <w:rFonts w:hint="default"/>
          <w:color w:val="C00000"/>
        </w:rPr>
      </w:pPr>
    </w:p>
    <w:p>
      <w:pPr>
        <w:pStyle w:val="5"/>
        <w:ind w:left="0" w:leftChars="0" w:firstLine="240" w:firstLineChars="100"/>
        <w:jc w:val="both"/>
        <w:rPr>
          <w:rFonts w:hint="default"/>
        </w:rPr>
      </w:pPr>
      <w:bookmarkStart w:id="174" w:name="_Toc512263494"/>
      <w:bookmarkEnd w:id="174"/>
      <w:bookmarkStart w:id="175" w:name="_Toc59007867"/>
      <w:r>
        <w:rPr>
          <w:rFonts w:hint="eastAsia" w:ascii="ＭＳ ゴシック" w:hAnsi="ＭＳ ゴシック" w:eastAsia="ＭＳ ゴシック"/>
        </w:rPr>
        <w:t>イ）多様な住まいの支援</w:t>
      </w:r>
      <w:bookmarkEnd w:id="175"/>
    </w:p>
    <w:p>
      <w:pPr>
        <w:pStyle w:val="0"/>
        <w:ind w:left="480" w:leftChars="100" w:hanging="240" w:hangingChars="100"/>
        <w:jc w:val="both"/>
        <w:rPr>
          <w:rFonts w:hint="default"/>
        </w:rPr>
      </w:pPr>
      <w:r>
        <w:rPr>
          <w:rFonts w:hint="eastAsia"/>
        </w:rPr>
        <w:t>○　「市営住宅等供給・管理のあり方について」</w:t>
      </w:r>
      <w:r>
        <w:rPr>
          <w:rFonts w:hint="default"/>
        </w:rPr>
        <w:t>において、各市営住宅の１階に空き住戸が生じた場合、高齢者等の対応として住戸改善を行い、高齢者等設備仕様住宅として供給することを位置づけており、有効活用に向け検討します。</w:t>
      </w:r>
    </w:p>
    <w:p>
      <w:pPr>
        <w:pStyle w:val="0"/>
        <w:ind w:left="480" w:leftChars="100" w:hanging="240" w:hangingChars="100"/>
        <w:jc w:val="both"/>
        <w:rPr>
          <w:rFonts w:hint="default"/>
        </w:rPr>
      </w:pPr>
      <w:r>
        <w:rPr>
          <w:rFonts w:hint="eastAsia"/>
        </w:rPr>
        <w:t>○　戸建て住宅や集合住宅等の住まいの形態にかかわらず、高齢者が住み慣れた住まいや地域で安心して生活し続けるためには、高齢者一人ひとりが抱える多様な生活課題に地域全体で取り組む仕組みが必要であることから、高齢者の相談支援を担っている地域包括支援センターや民生委員・児童委員、ＮＰＯ・ボランティア等、また、地域での支え合い・助け合いの担い手として活動してきた地区福祉会や自治会等、地域の多様な機関への支援や、各機関の連携強化により、地域コミュニティへの支援の充実を図ります。</w:t>
      </w:r>
    </w:p>
    <w:p>
      <w:pPr>
        <w:pStyle w:val="0"/>
        <w:jc w:val="both"/>
        <w:rPr>
          <w:rFonts w:hint="default"/>
          <w:color w:val="C00000"/>
        </w:rPr>
      </w:pPr>
    </w:p>
    <w:p>
      <w:pPr>
        <w:pStyle w:val="5"/>
        <w:ind w:left="0" w:leftChars="0" w:firstLine="240" w:firstLineChars="100"/>
        <w:jc w:val="both"/>
        <w:rPr>
          <w:rFonts w:hint="default"/>
        </w:rPr>
      </w:pPr>
      <w:bookmarkStart w:id="176" w:name="_Toc512263495"/>
      <w:bookmarkEnd w:id="176"/>
      <w:bookmarkStart w:id="177" w:name="_Toc59007868"/>
      <w:r>
        <w:rPr>
          <w:rFonts w:hint="eastAsia" w:ascii="ＭＳ ゴシック" w:hAnsi="ＭＳ ゴシック" w:eastAsia="ＭＳ ゴシック"/>
        </w:rPr>
        <w:t>ウ）高齢者の安定入居への支援</w:t>
      </w:r>
      <w:bookmarkEnd w:id="177"/>
    </w:p>
    <w:p>
      <w:pPr>
        <w:pStyle w:val="0"/>
        <w:ind w:left="480" w:leftChars="100" w:hanging="240" w:hangingChars="100"/>
        <w:jc w:val="both"/>
        <w:rPr>
          <w:rFonts w:hint="default"/>
        </w:rPr>
      </w:pPr>
      <w:r>
        <w:rPr>
          <w:rFonts w:hint="eastAsia"/>
        </w:rPr>
        <w:t>○　高</w:t>
      </w:r>
      <w:r>
        <w:rPr>
          <w:rFonts w:hint="eastAsia"/>
          <w:color w:val="000000" w:themeColor="text1"/>
        </w:rPr>
        <w:t>齢者等住宅確保が困難なかたを対象に、あんしん</w:t>
      </w:r>
      <w:r>
        <w:rPr>
          <w:rFonts w:hint="eastAsia"/>
        </w:rPr>
        <w:t>賃貸支援事業で収集した情報等については、大阪府のホームページを通じて提供されます。また、高齢者をめぐる入居の問題や居住に関する各種トラブル等にかかる相談に対応するため、関係機関の連携を進めます。</w:t>
      </w:r>
    </w:p>
    <w:p>
      <w:pPr>
        <w:pStyle w:val="0"/>
        <w:ind w:left="480" w:leftChars="100" w:hanging="240" w:hangingChars="100"/>
        <w:jc w:val="both"/>
        <w:rPr>
          <w:rFonts w:hint="default"/>
        </w:rPr>
      </w:pPr>
      <w:r>
        <w:rPr>
          <w:rFonts w:hint="eastAsia"/>
        </w:rPr>
        <w:t>○　市営住宅の入居制度については、高齢者や障害者など住宅困窮度の高い世帯等を優遇する当選倍率優遇方式に見直されており、今後も引き続き、当方式の活用等により、高齢者の住宅の確保に努めます。</w:t>
      </w:r>
    </w:p>
    <w:p>
      <w:pPr>
        <w:pStyle w:val="0"/>
        <w:ind w:left="480" w:leftChars="100" w:hanging="240" w:hangingChars="100"/>
        <w:jc w:val="both"/>
        <w:rPr>
          <w:rFonts w:hint="default"/>
        </w:rPr>
      </w:pPr>
    </w:p>
    <w:p>
      <w:pPr>
        <w:pStyle w:val="0"/>
        <w:ind w:left="480" w:leftChars="100" w:hanging="240" w:hangingChars="100"/>
        <w:jc w:val="both"/>
        <w:rPr>
          <w:rFonts w:hint="default"/>
        </w:rPr>
      </w:pPr>
      <w:r>
        <w:rPr>
          <w:rFonts w:hint="eastAsia"/>
        </w:rPr>
        <w:t>○　高齢世帯等への住替えの取組として、各市営住宅の１階に空き住戸が生じた場合、高齢者等対応の住戸改善を可能な限り実施し、地域の実情を勘案し、「新規募集（高齢者・障害者設備仕様住宅募集）」と「団地内の高齢者・障害者等の住替え希望者の入居」を団地ごとに原則として交互に実施していきます。</w:t>
      </w:r>
    </w:p>
    <w:p>
      <w:pPr>
        <w:pStyle w:val="0"/>
        <w:jc w:val="both"/>
        <w:rPr>
          <w:rFonts w:hint="default"/>
          <w:color w:val="C00000"/>
        </w:rPr>
      </w:pPr>
    </w:p>
    <w:p>
      <w:pPr>
        <w:pStyle w:val="5"/>
        <w:ind w:left="0" w:leftChars="0" w:firstLine="240" w:firstLineChars="100"/>
        <w:jc w:val="both"/>
        <w:rPr>
          <w:rFonts w:hint="default"/>
        </w:rPr>
      </w:pPr>
      <w:bookmarkStart w:id="178" w:name="_Toc59007869"/>
      <w:r>
        <w:rPr>
          <w:rFonts w:hint="eastAsia" w:ascii="ＭＳ ゴシック" w:hAnsi="ＭＳ ゴシック" w:eastAsia="ＭＳ ゴシック"/>
        </w:rPr>
        <w:t>エ）養護老人ホーム</w:t>
      </w:r>
      <w:bookmarkEnd w:id="178"/>
    </w:p>
    <w:p>
      <w:pPr>
        <w:pStyle w:val="0"/>
        <w:ind w:left="480" w:leftChars="100" w:hanging="240" w:hangingChars="100"/>
        <w:jc w:val="both"/>
        <w:rPr>
          <w:rFonts w:hint="default"/>
        </w:rPr>
      </w:pPr>
      <w:r>
        <w:rPr>
          <w:rFonts w:hint="eastAsia"/>
        </w:rPr>
        <w:t>○　養護老人ホームとは、環境上の理由及び経済的理由によって居宅での生活が困難な高齢者を対象とする入所施設です。</w:t>
      </w:r>
      <w:r>
        <w:rPr>
          <w:rFonts w:hint="default"/>
        </w:rPr>
        <w:t>平成</w:t>
      </w:r>
      <w:r>
        <w:rPr>
          <w:rFonts w:hint="default"/>
        </w:rPr>
        <w:t>25</w:t>
      </w:r>
      <w:r>
        <w:rPr>
          <w:rFonts w:hint="default"/>
        </w:rPr>
        <w:t>年</w:t>
      </w:r>
      <w:r>
        <w:rPr>
          <w:rFonts w:hint="eastAsia"/>
        </w:rPr>
        <w:t>(</w:t>
      </w:r>
      <w:r>
        <w:rPr>
          <w:rFonts w:hint="default"/>
        </w:rPr>
        <w:t>2013</w:t>
      </w:r>
      <w:r>
        <w:rPr>
          <w:rFonts w:hint="default"/>
        </w:rPr>
        <w:t>年</w:t>
      </w:r>
      <w:r>
        <w:rPr>
          <w:rFonts w:hint="eastAsia"/>
        </w:rPr>
        <w:t>)</w:t>
      </w:r>
      <w:r>
        <w:rPr>
          <w:rFonts w:hint="default"/>
        </w:rPr>
        <w:t>４月に</w:t>
      </w:r>
      <w:r>
        <w:rPr>
          <w:rFonts w:hint="eastAsia"/>
        </w:rPr>
        <w:t>、</w:t>
      </w:r>
      <w:r>
        <w:rPr>
          <w:rFonts w:hint="default"/>
        </w:rPr>
        <w:t>老人福祉センター「松寿荘」の機能を引き継ぐ「市立多世代交流センター」とともに、福祉複合施設「稲ふれあいセンター」内に、「養護老人ホームゆずの郷」</w:t>
      </w:r>
      <w:r>
        <w:rPr>
          <w:rFonts w:hint="eastAsia"/>
        </w:rPr>
        <w:t>を</w:t>
      </w:r>
      <w:r>
        <w:rPr>
          <w:rFonts w:hint="default"/>
        </w:rPr>
        <w:t>開設しました。</w:t>
      </w:r>
    </w:p>
    <w:p>
      <w:pPr>
        <w:pStyle w:val="0"/>
        <w:ind w:left="480" w:leftChars="100" w:hanging="240" w:hangingChars="100"/>
        <w:jc w:val="both"/>
        <w:rPr>
          <w:rFonts w:hint="default"/>
        </w:rPr>
      </w:pPr>
      <w:r>
        <w:rPr>
          <w:rFonts w:hint="eastAsia"/>
        </w:rPr>
        <w:t>○　今後も引き続き、環境上の理由及び経済的理由により居宅での生活が困難な高齢者を対象として入所措置を実施するとともに、家族介護者の介護負担の増大や認知症高齢者の増加に伴う高齢者虐待事案の増加等を勘案し、緊急の措置が行えるよう市内及び近隣の養護老人ホームとの連携強化を図ります。また、入所措置の対象者ではないが住居に課題を抱えるかたの受け皿としての活用のありかたについても、課題共有と連携強化を図ります。</w:t>
      </w:r>
    </w:p>
    <w:p>
      <w:pPr>
        <w:pStyle w:val="0"/>
        <w:jc w:val="both"/>
        <w:rPr>
          <w:rFonts w:hint="default"/>
          <w:color w:val="C00000"/>
        </w:rPr>
      </w:pPr>
    </w:p>
    <w:p>
      <w:pPr>
        <w:pStyle w:val="5"/>
        <w:ind w:left="0" w:leftChars="0" w:firstLine="240" w:firstLineChars="100"/>
        <w:jc w:val="both"/>
        <w:rPr>
          <w:rFonts w:hint="default"/>
        </w:rPr>
      </w:pPr>
      <w:bookmarkStart w:id="179" w:name="_Toc59007870"/>
      <w:r>
        <w:rPr>
          <w:rFonts w:hint="eastAsia" w:ascii="ＭＳ ゴシック" w:hAnsi="ＭＳ ゴシック" w:eastAsia="ＭＳ ゴシック"/>
        </w:rPr>
        <w:t>オ）軽費老人ホーム（ケアハウス）</w:t>
      </w:r>
      <w:bookmarkEnd w:id="179"/>
    </w:p>
    <w:p>
      <w:pPr>
        <w:pStyle w:val="0"/>
        <w:ind w:left="480" w:leftChars="100" w:hanging="240" w:hangingChars="100"/>
        <w:jc w:val="both"/>
        <w:rPr>
          <w:rFonts w:hint="default"/>
        </w:rPr>
      </w:pPr>
      <w:r>
        <w:rPr>
          <w:rFonts w:hint="eastAsia"/>
        </w:rPr>
        <w:t>○　軽費老人ホームとは、身体機能の低下等により独立した日常生活に不安がある高齢者が、できる限り自立した生活を送ることができるように、食事や入浴の準備、緊急時の対応等を行う施設です。現在、市内に２か所</w:t>
      </w:r>
      <w:r>
        <w:rPr>
          <w:rFonts w:hint="default"/>
        </w:rPr>
        <w:t>86</w:t>
      </w:r>
      <w:r>
        <w:rPr>
          <w:rFonts w:hint="default"/>
        </w:rPr>
        <w:t>人分が整備</w:t>
      </w:r>
      <w:r>
        <w:rPr>
          <w:rFonts w:hint="eastAsia"/>
        </w:rPr>
        <w:t>されてお</w:t>
      </w:r>
      <w:r>
        <w:rPr>
          <w:rFonts w:hint="default"/>
        </w:rPr>
        <w:t>り、本計画期間中</w:t>
      </w:r>
      <w:r>
        <w:rPr>
          <w:rFonts w:hint="eastAsia"/>
        </w:rPr>
        <w:t>の</w:t>
      </w:r>
      <w:r>
        <w:rPr>
          <w:rFonts w:hint="default"/>
        </w:rPr>
        <w:t>新たな整備目標値の設定は行</w:t>
      </w:r>
      <w:r>
        <w:rPr>
          <w:rFonts w:hint="eastAsia"/>
        </w:rPr>
        <w:t>いませんが</w:t>
      </w:r>
      <w:r>
        <w:rPr>
          <w:rFonts w:hint="default"/>
        </w:rPr>
        <w:t>、引き続き需要動向の把握に努めます。</w:t>
      </w:r>
    </w:p>
    <w:p>
      <w:pPr>
        <w:pStyle w:val="0"/>
        <w:jc w:val="both"/>
        <w:rPr>
          <w:rFonts w:hint="default"/>
          <w:color w:val="C00000"/>
        </w:rPr>
      </w:pPr>
    </w:p>
    <w:p>
      <w:pPr>
        <w:pStyle w:val="5"/>
        <w:ind w:left="0" w:leftChars="0" w:firstLine="240" w:firstLineChars="100"/>
        <w:jc w:val="both"/>
        <w:rPr>
          <w:rFonts w:hint="default"/>
        </w:rPr>
      </w:pPr>
      <w:bookmarkStart w:id="180" w:name="_Toc59007871"/>
      <w:r>
        <w:rPr>
          <w:rFonts w:hint="eastAsia" w:ascii="ＭＳ ゴシック" w:hAnsi="ＭＳ ゴシック" w:eastAsia="ＭＳ ゴシック"/>
        </w:rPr>
        <w:t>カ）サービス付き高齢者向け住宅</w:t>
      </w:r>
      <w:bookmarkEnd w:id="180"/>
    </w:p>
    <w:p>
      <w:pPr>
        <w:pStyle w:val="0"/>
        <w:ind w:left="480" w:leftChars="100" w:hanging="240" w:hangingChars="100"/>
        <w:jc w:val="both"/>
        <w:rPr>
          <w:rFonts w:hint="default"/>
        </w:rPr>
      </w:pPr>
      <w:r>
        <w:rPr>
          <w:rFonts w:hint="eastAsia"/>
        </w:rPr>
        <w:t>○　サービス付き高齢者向け住宅とは、「高齢者の居住の安定確保に関する法律」（平成</w:t>
      </w:r>
      <w:r>
        <w:rPr>
          <w:rFonts w:hint="default"/>
        </w:rPr>
        <w:t>13</w:t>
      </w:r>
      <w:r>
        <w:rPr>
          <w:rFonts w:hint="default"/>
        </w:rPr>
        <w:t>年法律第</w:t>
      </w:r>
      <w:r>
        <w:rPr>
          <w:rFonts w:hint="default"/>
        </w:rPr>
        <w:t>26</w:t>
      </w:r>
      <w:r>
        <w:rPr>
          <w:rFonts w:hint="default"/>
        </w:rPr>
        <w:t>号）が平成</w:t>
      </w:r>
      <w:r>
        <w:rPr>
          <w:rFonts w:hint="default"/>
        </w:rPr>
        <w:t>23</w:t>
      </w:r>
      <w:r>
        <w:rPr>
          <w:rFonts w:hint="default"/>
        </w:rPr>
        <w:t>年</w:t>
      </w:r>
      <w:r>
        <w:rPr>
          <w:rFonts w:hint="eastAsia"/>
        </w:rPr>
        <w:t>(</w:t>
      </w:r>
      <w:r>
        <w:rPr>
          <w:rFonts w:hint="default"/>
        </w:rPr>
        <w:t>2011</w:t>
      </w:r>
      <w:r>
        <w:rPr>
          <w:rFonts w:hint="default"/>
        </w:rPr>
        <w:t>年</w:t>
      </w:r>
      <w:r>
        <w:rPr>
          <w:rFonts w:hint="eastAsia"/>
        </w:rPr>
        <w:t>)</w:t>
      </w:r>
      <w:r>
        <w:rPr>
          <w:rFonts w:hint="default"/>
        </w:rPr>
        <w:t>４月に改正されたことにより創設されたものです。バリアフリー、安否確認・生活相談サービス等の提供、入居に係る契約形式等に関する一定の基準を満たした住宅等が都道府県・政令市・中核市（以下</w:t>
      </w:r>
      <w:r>
        <w:rPr>
          <w:rFonts w:hint="eastAsia"/>
        </w:rPr>
        <w:t>、</w:t>
      </w:r>
      <w:r>
        <w:rPr>
          <w:rFonts w:hint="default"/>
        </w:rPr>
        <w:t>「都道府県等」と</w:t>
      </w:r>
      <w:r>
        <w:rPr>
          <w:rFonts w:hint="eastAsia"/>
        </w:rPr>
        <w:t>いう</w:t>
      </w:r>
      <w:r>
        <w:rPr>
          <w:rFonts w:hint="default"/>
        </w:rPr>
        <w:t>。）に登録を行い、都道府県等が登録された住宅の指導・監督を行います。また、登録された住宅の情報が開示されることにより、高齢者が自らのニーズに合った住まいの選択を行うことができます。</w:t>
      </w:r>
    </w:p>
    <w:p>
      <w:pPr>
        <w:pStyle w:val="0"/>
        <w:ind w:left="480" w:hanging="480" w:hangingChars="200"/>
        <w:jc w:val="both"/>
        <w:rPr>
          <w:rFonts w:hint="default"/>
        </w:rPr>
      </w:pPr>
      <w:r>
        <w:rPr>
          <w:rFonts w:hint="eastAsia"/>
        </w:rPr>
        <w:t>　○　サービス付き高齢者向け住宅については、様々な供給支援策が講じられることにより、制度が創設されて以来、順調に供給が進んでいます。また、平成</w:t>
      </w:r>
      <w:r>
        <w:rPr>
          <w:rFonts w:hint="default"/>
        </w:rPr>
        <w:t>27</w:t>
      </w:r>
      <w:r>
        <w:rPr>
          <w:rFonts w:hint="default"/>
        </w:rPr>
        <w:t>年</w:t>
      </w:r>
      <w:r>
        <w:rPr>
          <w:rFonts w:hint="eastAsia"/>
        </w:rPr>
        <w:t>(</w:t>
      </w:r>
      <w:r>
        <w:rPr>
          <w:rFonts w:hint="default"/>
        </w:rPr>
        <w:t>2015</w:t>
      </w:r>
      <w:r>
        <w:rPr>
          <w:rFonts w:hint="default"/>
        </w:rPr>
        <w:t>年</w:t>
      </w:r>
      <w:r>
        <w:rPr>
          <w:rFonts w:hint="eastAsia"/>
        </w:rPr>
        <w:t>)</w:t>
      </w:r>
      <w:r>
        <w:rPr>
          <w:rFonts w:hint="default"/>
        </w:rPr>
        <w:t>４月の介護保険法改正により、有料老人ホームに該当するサービス付き高齢者向け住宅についても、住所地特例の</w:t>
      </w:r>
      <w:r>
        <w:rPr>
          <w:rFonts w:hint="default"/>
          <w:color w:val="000000" w:themeColor="text1"/>
        </w:rPr>
        <w:t>対象と</w:t>
      </w:r>
      <w:r>
        <w:rPr>
          <w:rFonts w:hint="eastAsia"/>
          <w:color w:val="000000" w:themeColor="text1"/>
        </w:rPr>
        <w:t>なっています</w:t>
      </w:r>
      <w:r>
        <w:rPr>
          <w:rFonts w:hint="default"/>
          <w:color w:val="000000" w:themeColor="text1"/>
        </w:rPr>
        <w:t>。</w:t>
      </w:r>
    </w:p>
    <w:p>
      <w:pPr>
        <w:pStyle w:val="0"/>
        <w:ind w:left="480" w:leftChars="100" w:hanging="240" w:hangingChars="100"/>
        <w:jc w:val="both"/>
        <w:rPr>
          <w:rFonts w:hint="default"/>
        </w:rPr>
      </w:pPr>
      <w:r>
        <w:rPr>
          <w:rFonts w:hint="eastAsia"/>
        </w:rPr>
        <w:t>○　サービス付き高齢者向け住宅、住宅型有料老人ホーム、介護付き有料老人ホームなどの高齢者向け住宅については、特に要介護認定を受けたかたの住み替え先の選択肢として一定のニーズがあり、その役割に大きな期待が寄せられています。</w:t>
      </w:r>
    </w:p>
    <w:p>
      <w:pPr>
        <w:pStyle w:val="0"/>
        <w:ind w:left="480" w:hanging="480" w:hangingChars="200"/>
        <w:jc w:val="both"/>
        <w:rPr>
          <w:rFonts w:hint="default"/>
        </w:rPr>
      </w:pPr>
      <w:r>
        <w:rPr>
          <w:rFonts w:hint="eastAsia"/>
        </w:rPr>
        <w:t>○　平成</w:t>
      </w:r>
      <w:r>
        <w:rPr>
          <w:rFonts w:hint="default"/>
        </w:rPr>
        <w:t>26</w:t>
      </w:r>
      <w:r>
        <w:rPr>
          <w:rFonts w:hint="default"/>
        </w:rPr>
        <w:t>年</w:t>
      </w:r>
      <w:r>
        <w:rPr>
          <w:rFonts w:hint="eastAsia"/>
        </w:rPr>
        <w:t>(</w:t>
      </w:r>
      <w:r>
        <w:rPr>
          <w:rFonts w:hint="default"/>
        </w:rPr>
        <w:t>2014</w:t>
      </w:r>
      <w:r>
        <w:rPr>
          <w:rFonts w:hint="default"/>
        </w:rPr>
        <w:t>年</w:t>
      </w:r>
      <w:r>
        <w:rPr>
          <w:rFonts w:hint="eastAsia"/>
        </w:rPr>
        <w:t>)</w:t>
      </w:r>
      <w:r>
        <w:rPr>
          <w:rFonts w:hint="default"/>
        </w:rPr>
        <w:t>４月より、地域における社会資源の整備計画を市町村が事前に把握することが計画的な福祉サービスの提供に</w:t>
      </w:r>
      <w:r>
        <w:rPr>
          <w:rFonts w:hint="eastAsia"/>
        </w:rPr>
        <w:t>つな</w:t>
      </w:r>
      <w:r>
        <w:rPr>
          <w:rFonts w:hint="default"/>
        </w:rPr>
        <w:t>がるとの考えから、事業者による立地市町村へのサービス付き高齢者向け住宅建設に係る事前情報提供の事務手続きの見直しが行われました。高齢者やその家族のニーズに応えるために、地域の需要を見極めながら、引き続き住宅に関する情報収集・情報提供に努め、住宅において適切なサービスが提供されるよう対策を講じつつ、大阪府や市の住宅部局等、関係機関と連携して取り組みます。</w:t>
      </w:r>
    </w:p>
    <w:p>
      <w:pPr>
        <w:pStyle w:val="0"/>
        <w:ind w:left="480" w:leftChars="100" w:hanging="240" w:hangingChars="100"/>
        <w:jc w:val="both"/>
        <w:rPr>
          <w:rFonts w:hint="default"/>
          <w:color w:val="000000" w:themeColor="text1"/>
        </w:rPr>
      </w:pPr>
      <w:r>
        <w:rPr>
          <w:rFonts w:hint="eastAsia"/>
          <w:color w:val="000000" w:themeColor="text1"/>
        </w:rPr>
        <w:t>○　大阪府の調査では、府内の住宅型有料老人ホームとサービス付き高齢者向け住宅における介護サービスの利用実態は、要介護３以上の場合、平均して特別養護老人ホームの介護サービス費よりも高く、また区分支給限度基準額に対する利用割合が約９割という結果がでています。区分支給限度基準額に対する利用割合が高いことが、直ちに問題があるとは言えませんが、利用者本位のサービス提供がなされているかなどケアプランチェックを実施し、給付適正化に向けた取組を継続します。</w:t>
      </w:r>
    </w:p>
    <w:p>
      <w:pPr>
        <w:pStyle w:val="0"/>
        <w:ind w:left="480" w:leftChars="100" w:hanging="240" w:hangingChars="100"/>
        <w:jc w:val="both"/>
        <w:rPr>
          <w:rFonts w:hint="default"/>
        </w:rPr>
      </w:pPr>
    </w:p>
    <w:p>
      <w:pPr>
        <w:pStyle w:val="4"/>
        <w:ind w:left="0" w:leftChars="0"/>
        <w:jc w:val="both"/>
        <w:rPr>
          <w:rFonts w:hint="default" w:ascii="ＭＳ ゴシック" w:hAnsi="ＭＳ ゴシック" w:eastAsia="ＭＳ ゴシック"/>
          <w:b w:val="0"/>
          <w:sz w:val="28"/>
        </w:rPr>
      </w:pPr>
      <w:bookmarkStart w:id="181" w:name="_Toc59007872"/>
      <w:r>
        <w:rPr>
          <w:rFonts w:hint="eastAsia" w:ascii="ＭＳ ゴシック" w:hAnsi="ＭＳ ゴシック" w:eastAsia="ＭＳ ゴシック"/>
          <w:b w:val="0"/>
          <w:sz w:val="28"/>
        </w:rPr>
        <w:t>（３）災害や感染症対策に係る高齢者支援体制の確立</w:t>
      </w:r>
      <w:bookmarkEnd w:id="181"/>
    </w:p>
    <w:p>
      <w:pPr>
        <w:pStyle w:val="0"/>
        <w:ind w:left="240" w:hanging="240" w:hangingChars="100"/>
        <w:jc w:val="both"/>
        <w:rPr>
          <w:rFonts w:hint="default"/>
        </w:rPr>
      </w:pPr>
      <w:r>
        <w:rPr>
          <w:rFonts w:hint="eastAsia"/>
        </w:rPr>
        <w:t>○　超高齢社会の到来に伴い、災害時に援護が必要なかたの増加が予想されるなか、より実効性のある災害時要援護者支援の推進を図ることが重要です。大規模な災害が発生した場合は、行政等の限られた人員だけでは安否確認や避難支援が十分に行うことができない可能性があることから、行政だけに頼らない地域と行政が一体となった高齢者支援体制を確立させなければなりません。</w:t>
      </w:r>
    </w:p>
    <w:p>
      <w:pPr>
        <w:pStyle w:val="0"/>
        <w:ind w:left="240" w:hanging="240" w:hangingChars="100"/>
        <w:jc w:val="both"/>
        <w:rPr>
          <w:rFonts w:hint="default"/>
        </w:rPr>
      </w:pPr>
      <w:r>
        <w:rPr>
          <w:rFonts w:hint="eastAsia"/>
        </w:rPr>
        <w:t>○　本市においては、東日本大震災のような「想定外の災害」が発生しうることを</w:t>
      </w:r>
      <w:r>
        <w:rPr>
          <w:rFonts w:hint="eastAsia"/>
          <w:color w:val="000000" w:themeColor="text1"/>
        </w:rPr>
        <w:t>ふまえ、</w:t>
      </w:r>
      <w:r>
        <w:rPr>
          <w:rFonts w:hint="eastAsia"/>
        </w:rPr>
        <w:t>継続して防災体制の見直しを進め、「箕面市地域防災計画」を必要に応じて改訂していきます。</w:t>
      </w:r>
    </w:p>
    <w:p>
      <w:pPr>
        <w:pStyle w:val="0"/>
        <w:ind w:left="240" w:hanging="240" w:hangingChars="100"/>
        <w:jc w:val="both"/>
        <w:rPr>
          <w:rFonts w:hint="default"/>
        </w:rPr>
      </w:pPr>
      <w:r>
        <w:rPr>
          <w:rFonts w:hint="eastAsia"/>
        </w:rPr>
        <w:t>○　市、自治会・マンション管理組合、地区福祉会や民生委員・児童委員などの地域団体等で構成する地区防災委員会が、今後も避難所運営や地域全体で避難支援を行う地域防災の中核として役割を担っていきます。</w:t>
      </w:r>
    </w:p>
    <w:p>
      <w:pPr>
        <w:pStyle w:val="0"/>
        <w:ind w:left="240" w:hanging="240" w:hangingChars="100"/>
        <w:jc w:val="both"/>
        <w:rPr>
          <w:rFonts w:hint="default"/>
        </w:rPr>
      </w:pPr>
      <w:r>
        <w:rPr>
          <w:rFonts w:hint="eastAsia"/>
        </w:rPr>
        <w:t>○　各自治会やマンション管理組合では、大規模地震等の発生直後に安否を確認し合い、地区防災委員会に安否情報を報告することとしており、独居高</w:t>
      </w:r>
      <w:r>
        <w:rPr>
          <w:rFonts w:hint="eastAsia"/>
          <w:color w:val="000000" w:themeColor="text1"/>
        </w:rPr>
        <w:t>齢者など逃げ遅れたり、助けを求められない要援護者については、避難所に備え付けた要安否確認者名簿を活用し、手分けをして迅速に安否確認を行います。</w:t>
      </w:r>
    </w:p>
    <w:p>
      <w:pPr>
        <w:pStyle w:val="0"/>
        <w:ind w:left="240" w:leftChars="100" w:firstLine="240" w:firstLineChars="100"/>
        <w:jc w:val="both"/>
        <w:rPr>
          <w:rFonts w:hint="default"/>
          <w:color w:val="000000" w:themeColor="text1"/>
        </w:rPr>
      </w:pPr>
      <w:r>
        <w:rPr>
          <w:rFonts w:hint="eastAsia"/>
          <w:color w:val="000000" w:themeColor="text1"/>
        </w:rPr>
        <w:t>また、避難行動要支援者名簿を地域の民生委員等に配布することで、平時からの見守りを通じて災害時要援護者を把握するなど、支援体制を構築しています。更に、医療的ケアの必要な独居高齢者等を対象とした要継続支援者名簿及び個別支援計画を策定し、個別状況をふまえた支援体制の構築を進めます。</w:t>
      </w:r>
    </w:p>
    <w:p>
      <w:pPr>
        <w:pStyle w:val="0"/>
        <w:ind w:left="240" w:hanging="240" w:hangingChars="100"/>
        <w:jc w:val="both"/>
        <w:rPr>
          <w:rFonts w:hint="default"/>
        </w:rPr>
      </w:pPr>
      <w:r>
        <w:rPr>
          <w:rFonts w:hint="eastAsia"/>
          <w:color w:val="000000" w:themeColor="text1"/>
        </w:rPr>
        <w:t>○　災害時に正確な情報を入手することは大変重要であるため、コミュニティＦＭ放送（タッキー</w:t>
      </w:r>
      <w:r>
        <w:rPr>
          <w:rFonts w:hint="default"/>
          <w:color w:val="000000" w:themeColor="text1"/>
        </w:rPr>
        <w:t>816</w:t>
      </w:r>
      <w:r>
        <w:rPr>
          <w:rFonts w:hint="default"/>
          <w:color w:val="000000" w:themeColor="text1"/>
        </w:rPr>
        <w:t>）など、災害時における情報提供体制の充実を図ります。</w:t>
      </w:r>
    </w:p>
    <w:p>
      <w:pPr>
        <w:pStyle w:val="0"/>
        <w:jc w:val="both"/>
        <w:rPr>
          <w:rFonts w:hint="default"/>
          <w:color w:val="000000" w:themeColor="text1"/>
        </w:rPr>
      </w:pPr>
    </w:p>
    <w:p>
      <w:pPr>
        <w:rPr>
          <w:rFonts w:hint="default"/>
          <w:color w:val="000000" w:themeColor="text1"/>
        </w:rPr>
        <w:sectPr>
          <w:pgSz w:w="11906" w:h="16838"/>
          <w:pgMar w:top="1440" w:right="1080" w:bottom="1440" w:left="1080" w:header="851" w:footer="454" w:gutter="0"/>
          <w:cols w:space="720"/>
          <w:textDirection w:val="lrTb"/>
          <w:docGrid w:type="lines" w:linePitch="360"/>
        </w:sectPr>
      </w:pPr>
    </w:p>
    <w:p>
      <w:pPr>
        <w:pStyle w:val="0"/>
        <w:ind w:left="240" w:hanging="240" w:hangingChars="100"/>
        <w:jc w:val="both"/>
        <w:rPr>
          <w:rFonts w:hint="default"/>
        </w:rPr>
      </w:pPr>
      <w:r>
        <w:rPr>
          <w:rFonts w:hint="eastAsia"/>
          <w:color w:val="000000" w:themeColor="text1"/>
        </w:rPr>
        <w:t>○　今後も、福祉避難所をはじめとする介護事業所等と連携し、全市一斉総合防災訓練に併せて実施している情報連携訓練等を通じた周知啓発を進めるとともに、介護事業所等の災害時の対応について確認を進めます。</w:t>
      </w:r>
    </w:p>
    <w:p>
      <w:pPr>
        <w:pStyle w:val="0"/>
        <w:ind w:left="240" w:hanging="240" w:hangingChars="100"/>
        <w:jc w:val="both"/>
        <w:rPr>
          <w:rFonts w:hint="default"/>
        </w:rPr>
      </w:pPr>
      <w:r>
        <w:rPr>
          <w:rFonts w:hint="eastAsia"/>
          <w:color w:val="000000" w:themeColor="text1"/>
        </w:rPr>
        <w:t>○　また、新型コロナウイルスや新型インフルエンザ等の感染症対策については、「大阪府新型インフルエンザ等対策行動計画」や「箕面市新型インフルエンザ等対策行動計画」に基づき、関係機関と連携しながら対策を講じます。また介護事業所等に対しては、国・大阪府等からの情報を速やかに提供し、感染拡大防止策等の周知啓発や研修の充実等を促すとともに、</w:t>
      </w:r>
      <w:r>
        <w:rPr>
          <w:rFonts w:hint="eastAsia"/>
        </w:rPr>
        <w:t>感染症発生時においてもサービスを継続するための備えについての確認を進めます。</w:t>
      </w:r>
    </w:p>
    <w:p>
      <w:pPr>
        <w:pStyle w:val="0"/>
        <w:rPr>
          <w:rFonts w:hint="default"/>
        </w:rPr>
      </w:pPr>
    </w:p>
    <w:p>
      <w:pPr>
        <w:pStyle w:val="0"/>
        <w:jc w:val="center"/>
        <w:rPr>
          <w:rFonts w:hint="default" w:ascii="メイリオ" w:hAnsi="メイリオ" w:eastAsia="メイリオ"/>
          <w:b w:val="1"/>
          <w:sz w:val="28"/>
          <w:u w:val="single" w:color="auto"/>
        </w:rPr>
      </w:pPr>
      <w:r>
        <w:rPr>
          <w:rFonts w:hint="eastAsia"/>
        </w:rPr>
        <w:drawing>
          <wp:anchor distT="0" distB="0" distL="203200" distR="203200" simplePos="0" relativeHeight="28" behindDoc="0" locked="0" layoutInCell="1" hidden="0" allowOverlap="1">
            <wp:simplePos x="0" y="0"/>
            <wp:positionH relativeFrom="column">
              <wp:posOffset>186055</wp:posOffset>
            </wp:positionH>
            <wp:positionV relativeFrom="paragraph">
              <wp:posOffset>231775</wp:posOffset>
            </wp:positionV>
            <wp:extent cx="5770880" cy="3972560"/>
            <wp:effectExtent l="0" t="0" r="0" b="0"/>
            <wp:wrapNone/>
            <wp:docPr id="1292" name="オブジェクト 0"/>
            <a:graphic xmlns:a="http://schemas.openxmlformats.org/drawingml/2006/main">
              <a:graphicData uri="http://schemas.openxmlformats.org/drawingml/2006/picture">
                <pic:pic xmlns:pic="http://schemas.openxmlformats.org/drawingml/2006/picture">
                  <pic:nvPicPr>
                    <pic:cNvPr id="1292" name="オブジェクト 0"/>
                    <pic:cNvPicPr>
                      <a:picLocks noChangeAspect="1"/>
                    </pic:cNvPicPr>
                  </pic:nvPicPr>
                  <pic:blipFill>
                    <a:blip r:embed="rId103"/>
                    <a:stretch>
                      <a:fillRect/>
                    </a:stretch>
                  </pic:blipFill>
                  <pic:spPr>
                    <a:xfrm>
                      <a:off x="0" y="0"/>
                      <a:ext cx="5770880" cy="3972560"/>
                    </a:xfrm>
                    <a:prstGeom prst="rect">
                      <a:avLst/>
                    </a:prstGeom>
                    <a:noFill/>
                    <a:ln w="9525">
                      <a:miter/>
                    </a:ln>
                  </pic:spPr>
                </pic:pic>
              </a:graphicData>
            </a:graphic>
          </wp:anchor>
        </w:drawing>
      </w:r>
      <w:r>
        <w:rPr>
          <w:rFonts w:hint="eastAsia" w:ascii="ＭＳ ゴシック" w:hAnsi="ＭＳ ゴシック" w:eastAsia="ＭＳ ゴシック"/>
          <w:sz w:val="21"/>
        </w:rPr>
        <w:t>図表</w:t>
      </w:r>
      <w:r>
        <w:rPr>
          <w:rFonts w:hint="eastAsia" w:ascii="ＭＳ ゴシック" w:hAnsi="ＭＳ ゴシック" w:eastAsia="ＭＳ ゴシック"/>
          <w:sz w:val="21"/>
        </w:rPr>
        <w:t>94</w:t>
      </w:r>
      <w:r>
        <w:rPr>
          <w:rFonts w:hint="eastAsia" w:ascii="ＭＳ ゴシック" w:hAnsi="ＭＳ ゴシック" w:eastAsia="ＭＳ ゴシック"/>
          <w:sz w:val="21"/>
        </w:rPr>
        <w:t>：小学校ごとの地区防災委員会のイメージ</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199" behindDoc="0" locked="0" layoutInCell="1" hidden="0" allowOverlap="1">
                <wp:simplePos x="0" y="0"/>
                <wp:positionH relativeFrom="column">
                  <wp:posOffset>296545</wp:posOffset>
                </wp:positionH>
                <wp:positionV relativeFrom="paragraph">
                  <wp:posOffset>10160</wp:posOffset>
                </wp:positionV>
                <wp:extent cx="5661660" cy="1581150"/>
                <wp:effectExtent l="635" t="635" r="29845" b="10795"/>
                <wp:wrapNone/>
                <wp:docPr id="1293" name="四角形: 角を丸くする 2118"/>
                <a:graphic xmlns:a="http://schemas.openxmlformats.org/drawingml/2006/main">
                  <a:graphicData uri="http://schemas.microsoft.com/office/word/2010/wordprocessingShape">
                    <wps:wsp>
                      <wps:cNvPr id="1293" name="四角形: 角を丸くする 2118"/>
                      <wps:cNvSpPr/>
                      <wps:spPr>
                        <a:xfrm>
                          <a:off x="0" y="0"/>
                          <a:ext cx="5661660" cy="15811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2118" style="mso-wrap-distance-right:9pt;mso-wrap-distance-bottom:0pt;margin-top:0.8pt;mso-position-vertical-relative:text;mso-position-horizontal-relative:text;position:absolute;height:124.5pt;mso-wrap-distance-top:0pt;width:445.8pt;mso-wrap-distance-left:9pt;margin-left:23.35pt;z-index:199;" o:spid="_x0000_s1293" o:allowincell="t" o:allowoverlap="t" filled="t" fillcolor="#dae2f3 [660]" stroked="t" strokecolor="#32528f"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114300" distR="114300" simplePos="0" relativeHeight="202" behindDoc="0" locked="0" layoutInCell="1" hidden="0" allowOverlap="1">
                <wp:simplePos x="0" y="0"/>
                <wp:positionH relativeFrom="column">
                  <wp:posOffset>444500</wp:posOffset>
                </wp:positionH>
                <wp:positionV relativeFrom="paragraph">
                  <wp:posOffset>63500</wp:posOffset>
                </wp:positionV>
                <wp:extent cx="4413250" cy="590550"/>
                <wp:effectExtent l="0" t="0" r="635" b="635"/>
                <wp:wrapNone/>
                <wp:docPr id="1294" name="正方形/長方形 2121"/>
                <a:graphic xmlns:a="http://schemas.openxmlformats.org/drawingml/2006/main">
                  <a:graphicData uri="http://schemas.microsoft.com/office/word/2010/wordprocessingShape">
                    <wps:wsp>
                      <wps:cNvPr id="1294" name="正方形/長方形 2121"/>
                      <wps:cNvSpPr/>
                      <wps:spPr>
                        <a:xfrm>
                          <a:off x="0" y="0"/>
                          <a:ext cx="4413250"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b w:val="1"/>
                                <w:color w:val="000000" w:themeColor="text1"/>
                                <w:sz w:val="20"/>
                                <w:u w:val="single" w:color="auto"/>
                              </w:rPr>
                            </w:pPr>
                            <w:r>
                              <w:rPr>
                                <w:rFonts w:hint="eastAsia" w:ascii="ＭＳ ゴシック" w:hAnsi="ＭＳ ゴシック" w:eastAsia="ＭＳ ゴシック"/>
                                <w:b w:val="1"/>
                                <w:color w:val="000000" w:themeColor="text1"/>
                                <w:sz w:val="20"/>
                                <w:u w:val="single" w:color="auto"/>
                              </w:rPr>
                              <w:t>要安否確認者</w:t>
                            </w:r>
                          </w:p>
                          <w:p>
                            <w:pPr>
                              <w:pStyle w:val="0"/>
                              <w:spacing w:line="240" w:lineRule="exact"/>
                              <w:rPr>
                                <w:rFonts w:hint="default"/>
                              </w:rPr>
                            </w:pPr>
                            <w:r>
                              <w:rPr>
                                <w:rFonts w:hint="eastAsia" w:ascii="ＭＳ ゴシック" w:hAnsi="ＭＳ ゴシック" w:eastAsia="ＭＳ ゴシック"/>
                                <w:color w:val="000000" w:themeColor="text1"/>
                                <w:sz w:val="16"/>
                              </w:rPr>
                              <w:t>自力で避難できない状況になりやすい、またその可能性のある人</w:t>
                            </w:r>
                            <w:r>
                              <w:rPr>
                                <w:rFonts w:hint="eastAsia" w:ascii="ＭＳ ゴシック" w:hAnsi="ＭＳ ゴシック" w:eastAsia="ＭＳ ゴシック"/>
                                <w:color w:val="000000" w:themeColor="text1"/>
                                <w:sz w:val="20"/>
                              </w:rPr>
                              <w:t>　約</w:t>
                            </w:r>
                            <w:r>
                              <w:rPr>
                                <w:rFonts w:hint="eastAsia" w:ascii="ＭＳ ゴシック" w:hAnsi="ＭＳ ゴシック" w:eastAsia="ＭＳ ゴシック"/>
                                <w:color w:val="000000" w:themeColor="text1"/>
                                <w:sz w:val="20"/>
                              </w:rPr>
                              <w:t>14</w:t>
                            </w:r>
                            <w:r>
                              <w:rPr>
                                <w:rFonts w:hint="default" w:ascii="ＭＳ ゴシック" w:hAnsi="ＭＳ ゴシック" w:eastAsia="ＭＳ ゴシック"/>
                                <w:color w:val="000000" w:themeColor="text1"/>
                                <w:sz w:val="20"/>
                              </w:rPr>
                              <w:t>,</w:t>
                            </w:r>
                            <w:r>
                              <w:rPr>
                                <w:rFonts w:hint="eastAsia" w:ascii="ＭＳ ゴシック" w:hAnsi="ＭＳ ゴシック" w:eastAsia="ＭＳ ゴシック"/>
                                <w:color w:val="000000" w:themeColor="text1"/>
                                <w:sz w:val="20"/>
                              </w:rPr>
                              <w:t>000</w:t>
                            </w:r>
                            <w:r>
                              <w:rPr>
                                <w:rFonts w:hint="eastAsia" w:ascii="ＭＳ ゴシック" w:hAnsi="ＭＳ ゴシック" w:eastAsia="ＭＳ ゴシック"/>
                                <w:color w:val="000000" w:themeColor="text1"/>
                                <w:sz w:val="20"/>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121" style="mso-wrap-distance-right:9pt;mso-wrap-distance-bottom:0pt;margin-top:5pt;mso-position-vertical-relative:text;mso-position-horizontal-relative:text;v-text-anchor:top;position:absolute;height:46.5pt;mso-wrap-distance-top:0pt;width:347.5pt;mso-wrap-distance-left:9pt;margin-left:35pt;z-index:202;" o:spid="_x0000_s1294"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b w:val="1"/>
                          <w:color w:val="000000" w:themeColor="text1"/>
                          <w:sz w:val="20"/>
                          <w:u w:val="single" w:color="auto"/>
                        </w:rPr>
                      </w:pPr>
                      <w:r>
                        <w:rPr>
                          <w:rFonts w:hint="eastAsia" w:ascii="ＭＳ ゴシック" w:hAnsi="ＭＳ ゴシック" w:eastAsia="ＭＳ ゴシック"/>
                          <w:b w:val="1"/>
                          <w:color w:val="000000" w:themeColor="text1"/>
                          <w:sz w:val="20"/>
                          <w:u w:val="single" w:color="auto"/>
                        </w:rPr>
                        <w:t>要安否確認者</w:t>
                      </w:r>
                    </w:p>
                    <w:p>
                      <w:pPr>
                        <w:pStyle w:val="0"/>
                        <w:spacing w:line="240" w:lineRule="exact"/>
                        <w:rPr>
                          <w:rFonts w:hint="default"/>
                        </w:rPr>
                      </w:pPr>
                      <w:r>
                        <w:rPr>
                          <w:rFonts w:hint="eastAsia" w:ascii="ＭＳ ゴシック" w:hAnsi="ＭＳ ゴシック" w:eastAsia="ＭＳ ゴシック"/>
                          <w:color w:val="000000" w:themeColor="text1"/>
                          <w:sz w:val="16"/>
                        </w:rPr>
                        <w:t>自力で避難できない状況になりやすい、またその可能性のある人</w:t>
                      </w:r>
                      <w:r>
                        <w:rPr>
                          <w:rFonts w:hint="eastAsia" w:ascii="ＭＳ ゴシック" w:hAnsi="ＭＳ ゴシック" w:eastAsia="ＭＳ ゴシック"/>
                          <w:color w:val="000000" w:themeColor="text1"/>
                          <w:sz w:val="20"/>
                        </w:rPr>
                        <w:t>　約</w:t>
                      </w:r>
                      <w:r>
                        <w:rPr>
                          <w:rFonts w:hint="eastAsia" w:ascii="ＭＳ ゴシック" w:hAnsi="ＭＳ ゴシック" w:eastAsia="ＭＳ ゴシック"/>
                          <w:color w:val="000000" w:themeColor="text1"/>
                          <w:sz w:val="20"/>
                        </w:rPr>
                        <w:t>14</w:t>
                      </w:r>
                      <w:r>
                        <w:rPr>
                          <w:rFonts w:hint="default" w:ascii="ＭＳ ゴシック" w:hAnsi="ＭＳ ゴシック" w:eastAsia="ＭＳ ゴシック"/>
                          <w:color w:val="000000" w:themeColor="text1"/>
                          <w:sz w:val="20"/>
                        </w:rPr>
                        <w:t>,</w:t>
                      </w:r>
                      <w:r>
                        <w:rPr>
                          <w:rFonts w:hint="eastAsia" w:ascii="ＭＳ ゴシック" w:hAnsi="ＭＳ ゴシック" w:eastAsia="ＭＳ ゴシック"/>
                          <w:color w:val="000000" w:themeColor="text1"/>
                          <w:sz w:val="20"/>
                        </w:rPr>
                        <w:t>000</w:t>
                      </w:r>
                      <w:r>
                        <w:rPr>
                          <w:rFonts w:hint="eastAsia" w:ascii="ＭＳ ゴシック" w:hAnsi="ＭＳ ゴシック" w:eastAsia="ＭＳ ゴシック"/>
                          <w:color w:val="000000" w:themeColor="text1"/>
                          <w:sz w:val="20"/>
                        </w:rPr>
                        <w:t>人</w:t>
                      </w:r>
                    </w:p>
                  </w:txbxContent>
                </v:textbox>
                <v:imagedata o:title=""/>
                <w10:wrap type="none" anchorx="text" anchory="text"/>
              </v: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203" behindDoc="0" locked="0" layoutInCell="1" hidden="0" allowOverlap="1">
                <wp:simplePos x="0" y="0"/>
                <wp:positionH relativeFrom="column">
                  <wp:posOffset>987425</wp:posOffset>
                </wp:positionH>
                <wp:positionV relativeFrom="paragraph">
                  <wp:posOffset>57150</wp:posOffset>
                </wp:positionV>
                <wp:extent cx="4540250" cy="683260"/>
                <wp:effectExtent l="0" t="0" r="635" b="635"/>
                <wp:wrapNone/>
                <wp:docPr id="1295" name="正方形/長方形 2122"/>
                <a:graphic xmlns:a="http://schemas.openxmlformats.org/drawingml/2006/main">
                  <a:graphicData uri="http://schemas.microsoft.com/office/word/2010/wordprocessingShape">
                    <wps:wsp>
                      <wps:cNvPr id="1295" name="正方形/長方形 2122"/>
                      <wps:cNvSpPr/>
                      <wps:spPr>
                        <a:xfrm>
                          <a:off x="0" y="0"/>
                          <a:ext cx="4540250" cy="683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b w:val="1"/>
                                <w:color w:val="FFFFFF" w:themeColor="background1"/>
                                <w:sz w:val="20"/>
                                <w:u w:val="single" w:color="auto"/>
                              </w:rPr>
                            </w:pPr>
                            <w:r>
                              <w:rPr>
                                <w:rFonts w:hint="eastAsia" w:ascii="ＭＳ ゴシック" w:hAnsi="ＭＳ ゴシック" w:eastAsia="ＭＳ ゴシック"/>
                                <w:b w:val="1"/>
                                <w:color w:val="FFFFFF" w:themeColor="background1"/>
                                <w:sz w:val="20"/>
                                <w:u w:val="single" w:color="auto"/>
                              </w:rPr>
                              <w:t>避難行動要支援者</w:t>
                            </w:r>
                          </w:p>
                          <w:p>
                            <w:pPr>
                              <w:pStyle w:val="0"/>
                              <w:spacing w:line="240" w:lineRule="exact"/>
                              <w:rPr>
                                <w:rFonts w:hint="default"/>
                                <w:color w:val="FFFFFF" w:themeColor="background1"/>
                              </w:rPr>
                            </w:pPr>
                            <w:r>
                              <w:rPr>
                                <w:rFonts w:hint="eastAsia" w:ascii="ＭＳ ゴシック" w:hAnsi="ＭＳ ゴシック" w:eastAsia="ＭＳ ゴシック"/>
                                <w:color w:val="FFFFFF" w:themeColor="background1"/>
                                <w:sz w:val="16"/>
                              </w:rPr>
                              <w:t>要配慮者のうち、自力避難が困難で避難のために特に支援を要する人</w:t>
                            </w:r>
                            <w:r>
                              <w:rPr>
                                <w:rFonts w:hint="eastAsia" w:ascii="ＭＳ ゴシック" w:hAnsi="ＭＳ ゴシック" w:eastAsia="ＭＳ ゴシック"/>
                                <w:color w:val="FFFFFF" w:themeColor="background1"/>
                                <w:sz w:val="20"/>
                              </w:rPr>
                              <w:t>　約</w:t>
                            </w:r>
                            <w:r>
                              <w:rPr>
                                <w:rFonts w:hint="eastAsia" w:ascii="ＭＳ ゴシック" w:hAnsi="ＭＳ ゴシック" w:eastAsia="ＭＳ ゴシック"/>
                                <w:color w:val="FFFFFF" w:themeColor="background1"/>
                                <w:sz w:val="20"/>
                              </w:rPr>
                              <w:t>5</w:t>
                            </w:r>
                            <w:r>
                              <w:rPr>
                                <w:rFonts w:hint="default" w:ascii="ＭＳ ゴシック" w:hAnsi="ＭＳ ゴシック" w:eastAsia="ＭＳ ゴシック"/>
                                <w:color w:val="FFFFFF" w:themeColor="background1"/>
                                <w:sz w:val="20"/>
                              </w:rPr>
                              <w:t>,</w:t>
                            </w:r>
                            <w:r>
                              <w:rPr>
                                <w:rFonts w:hint="eastAsia" w:ascii="ＭＳ ゴシック" w:hAnsi="ＭＳ ゴシック" w:eastAsia="ＭＳ ゴシック"/>
                                <w:color w:val="FFFFFF" w:themeColor="background1"/>
                                <w:sz w:val="20"/>
                              </w:rPr>
                              <w:t>000</w:t>
                            </w:r>
                            <w:r>
                              <w:rPr>
                                <w:rFonts w:hint="eastAsia" w:ascii="ＭＳ ゴシック" w:hAnsi="ＭＳ ゴシック" w:eastAsia="ＭＳ ゴシック"/>
                                <w:color w:val="FFFFFF" w:themeColor="background1"/>
                                <w:sz w:val="20"/>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122" style="mso-wrap-distance-right:9pt;mso-wrap-distance-bottom:0pt;margin-top:4.5pt;mso-position-vertical-relative:text;mso-position-horizontal-relative:text;v-text-anchor:top;position:absolute;height:53.8pt;mso-wrap-distance-top:0pt;width:357.5pt;mso-wrap-distance-left:9pt;margin-left:77.75pt;z-index:203;" o:spid="_x0000_s1295"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b w:val="1"/>
                          <w:color w:val="FFFFFF" w:themeColor="background1"/>
                          <w:sz w:val="20"/>
                          <w:u w:val="single" w:color="auto"/>
                        </w:rPr>
                      </w:pPr>
                      <w:r>
                        <w:rPr>
                          <w:rFonts w:hint="eastAsia" w:ascii="ＭＳ ゴシック" w:hAnsi="ＭＳ ゴシック" w:eastAsia="ＭＳ ゴシック"/>
                          <w:b w:val="1"/>
                          <w:color w:val="FFFFFF" w:themeColor="background1"/>
                          <w:sz w:val="20"/>
                          <w:u w:val="single" w:color="auto"/>
                        </w:rPr>
                        <w:t>避難行動要支援者</w:t>
                      </w:r>
                    </w:p>
                    <w:p>
                      <w:pPr>
                        <w:pStyle w:val="0"/>
                        <w:spacing w:line="240" w:lineRule="exact"/>
                        <w:rPr>
                          <w:rFonts w:hint="default"/>
                          <w:color w:val="FFFFFF" w:themeColor="background1"/>
                        </w:rPr>
                      </w:pPr>
                      <w:r>
                        <w:rPr>
                          <w:rFonts w:hint="eastAsia" w:ascii="ＭＳ ゴシック" w:hAnsi="ＭＳ ゴシック" w:eastAsia="ＭＳ ゴシック"/>
                          <w:color w:val="FFFFFF" w:themeColor="background1"/>
                          <w:sz w:val="16"/>
                        </w:rPr>
                        <w:t>要配慮者のうち、自力避難が困難で避難のために特に支援を要する人</w:t>
                      </w:r>
                      <w:r>
                        <w:rPr>
                          <w:rFonts w:hint="eastAsia" w:ascii="ＭＳ ゴシック" w:hAnsi="ＭＳ ゴシック" w:eastAsia="ＭＳ ゴシック"/>
                          <w:color w:val="FFFFFF" w:themeColor="background1"/>
                          <w:sz w:val="20"/>
                        </w:rPr>
                        <w:t>　約</w:t>
                      </w:r>
                      <w:r>
                        <w:rPr>
                          <w:rFonts w:hint="eastAsia" w:ascii="ＭＳ ゴシック" w:hAnsi="ＭＳ ゴシック" w:eastAsia="ＭＳ ゴシック"/>
                          <w:color w:val="FFFFFF" w:themeColor="background1"/>
                          <w:sz w:val="20"/>
                        </w:rPr>
                        <w:t>5</w:t>
                      </w:r>
                      <w:r>
                        <w:rPr>
                          <w:rFonts w:hint="default" w:ascii="ＭＳ ゴシック" w:hAnsi="ＭＳ ゴシック" w:eastAsia="ＭＳ ゴシック"/>
                          <w:color w:val="FFFFFF" w:themeColor="background1"/>
                          <w:sz w:val="20"/>
                        </w:rPr>
                        <w:t>,</w:t>
                      </w:r>
                      <w:r>
                        <w:rPr>
                          <w:rFonts w:hint="eastAsia" w:ascii="ＭＳ ゴシック" w:hAnsi="ＭＳ ゴシック" w:eastAsia="ＭＳ ゴシック"/>
                          <w:color w:val="FFFFFF" w:themeColor="background1"/>
                          <w:sz w:val="20"/>
                        </w:rPr>
                        <w:t>000</w:t>
                      </w:r>
                      <w:r>
                        <w:rPr>
                          <w:rFonts w:hint="eastAsia" w:ascii="ＭＳ ゴシック" w:hAnsi="ＭＳ ゴシック" w:eastAsia="ＭＳ ゴシック"/>
                          <w:color w:val="FFFFFF" w:themeColor="background1"/>
                          <w:sz w:val="20"/>
                        </w:rPr>
                        <w:t>人</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200" behindDoc="0" locked="0" layoutInCell="1" hidden="0" allowOverlap="1">
                <wp:simplePos x="0" y="0"/>
                <wp:positionH relativeFrom="column">
                  <wp:posOffset>917575</wp:posOffset>
                </wp:positionH>
                <wp:positionV relativeFrom="paragraph">
                  <wp:posOffset>23495</wp:posOffset>
                </wp:positionV>
                <wp:extent cx="4892675" cy="1022350"/>
                <wp:effectExtent l="635" t="635" r="29845" b="10795"/>
                <wp:wrapNone/>
                <wp:docPr id="1296" name="四角形: 角を丸くする 2119"/>
                <a:graphic xmlns:a="http://schemas.openxmlformats.org/drawingml/2006/main">
                  <a:graphicData uri="http://schemas.microsoft.com/office/word/2010/wordprocessingShape">
                    <wps:wsp>
                      <wps:cNvPr id="1296" name="四角形: 角を丸くする 2119"/>
                      <wps:cNvSpPr/>
                      <wps:spPr>
                        <a:xfrm>
                          <a:off x="0" y="0"/>
                          <a:ext cx="4892675" cy="102235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2119" style="mso-wrap-distance-right:9pt;mso-wrap-distance-bottom:0pt;margin-top:1.85pt;mso-position-vertical-relative:text;mso-position-horizontal-relative:text;position:absolute;height:80.5pt;mso-wrap-distance-top:0pt;width:385.25pt;mso-wrap-distance-left:9pt;margin-left:72.25pt;z-index:200;" o:spid="_x0000_s1296" o:allowincell="t" o:allowoverlap="t" filled="t" fillcolor="#4472c4 [3204]" stroked="t" strokecolor="#32528f"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204" behindDoc="0" locked="0" layoutInCell="1" hidden="0" allowOverlap="1">
                <wp:simplePos x="0" y="0"/>
                <wp:positionH relativeFrom="column">
                  <wp:posOffset>1654175</wp:posOffset>
                </wp:positionH>
                <wp:positionV relativeFrom="paragraph">
                  <wp:posOffset>88900</wp:posOffset>
                </wp:positionV>
                <wp:extent cx="4500880" cy="527050"/>
                <wp:effectExtent l="0" t="0" r="635" b="635"/>
                <wp:wrapNone/>
                <wp:docPr id="1297" name="正方形/長方形 2123"/>
                <a:graphic xmlns:a="http://schemas.openxmlformats.org/drawingml/2006/main">
                  <a:graphicData uri="http://schemas.microsoft.com/office/word/2010/wordprocessingShape">
                    <wps:wsp>
                      <wps:cNvPr id="1297" name="正方形/長方形 2123"/>
                      <wps:cNvSpPr/>
                      <wps:spPr>
                        <a:xfrm>
                          <a:off x="0" y="0"/>
                          <a:ext cx="4500880" cy="52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b w:val="1"/>
                                <w:color w:val="000000" w:themeColor="text1"/>
                                <w:sz w:val="20"/>
                                <w:u w:val="single" w:color="auto"/>
                              </w:rPr>
                            </w:pPr>
                            <w:r>
                              <w:rPr>
                                <w:rFonts w:hint="eastAsia" w:ascii="ＭＳ ゴシック" w:hAnsi="ＭＳ ゴシック" w:eastAsia="ＭＳ ゴシック"/>
                                <w:b w:val="1"/>
                                <w:color w:val="000000" w:themeColor="text1"/>
                                <w:sz w:val="20"/>
                                <w:u w:val="single" w:color="auto"/>
                              </w:rPr>
                              <w:t>要継続支援者</w:t>
                            </w:r>
                          </w:p>
                          <w:p>
                            <w:pPr>
                              <w:pStyle w:val="0"/>
                              <w:spacing w:line="240" w:lineRule="exact"/>
                              <w:rPr>
                                <w:rFonts w:hint="default"/>
                              </w:rPr>
                            </w:pPr>
                            <w:r>
                              <w:rPr>
                                <w:rFonts w:hint="eastAsia" w:ascii="ＭＳ ゴシック" w:hAnsi="ＭＳ ゴシック" w:eastAsia="ＭＳ ゴシック"/>
                                <w:color w:val="000000" w:themeColor="text1"/>
                                <w:sz w:val="16"/>
                              </w:rPr>
                              <w:t>継続的に福祉的・医療的ケアがなければ生命維持に支障をきたす人</w:t>
                            </w:r>
                            <w:r>
                              <w:rPr>
                                <w:rFonts w:hint="eastAsia" w:ascii="ＭＳ ゴシック" w:hAnsi="ＭＳ ゴシック" w:eastAsia="ＭＳ ゴシック"/>
                                <w:color w:val="000000" w:themeColor="text1"/>
                                <w:sz w:val="20"/>
                              </w:rPr>
                              <w:t>　約</w:t>
                            </w:r>
                            <w:r>
                              <w:rPr>
                                <w:rFonts w:hint="eastAsia" w:ascii="ＭＳ ゴシック" w:hAnsi="ＭＳ ゴシック" w:eastAsia="ＭＳ ゴシック"/>
                                <w:color w:val="000000" w:themeColor="text1"/>
                                <w:sz w:val="20"/>
                              </w:rPr>
                              <w:t>100</w:t>
                            </w:r>
                            <w:r>
                              <w:rPr>
                                <w:rFonts w:hint="eastAsia" w:ascii="ＭＳ ゴシック" w:hAnsi="ＭＳ ゴシック" w:eastAsia="ＭＳ ゴシック"/>
                                <w:color w:val="000000" w:themeColor="text1"/>
                                <w:sz w:val="20"/>
                              </w:rPr>
                              <w:t>人</w:t>
                            </w:r>
                          </w:p>
                        </w:txbxContent>
                      </wps:txbx>
                      <wps:bodyPr rot="0" vertOverflow="overflow" horzOverflow="overflow" wrap="square" numCol="1" spcCol="0" rtlCol="0" fromWordArt="0" anchor="t" anchorCtr="0" forceAA="0" compatLnSpc="1"/>
                    </wps:wsp>
                  </a:graphicData>
                </a:graphic>
              </wp:anchor>
            </w:drawing>
          </mc:Choice>
          <mc:Fallback>
            <w:pict>
              <v:rect id="正方形/長方形 2123" style="mso-wrap-distance-right:9pt;mso-wrap-distance-bottom:0pt;margin-top:7pt;mso-position-vertical-relative:text;mso-position-horizontal-relative:text;v-text-anchor:top;position:absolute;height:41.5pt;mso-wrap-distance-top:0pt;width:354.4pt;mso-wrap-distance-left:9pt;margin-left:130.25pt;z-index:204;" o:spid="_x0000_s1297"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b w:val="1"/>
                          <w:color w:val="000000" w:themeColor="text1"/>
                          <w:sz w:val="20"/>
                          <w:u w:val="single" w:color="auto"/>
                        </w:rPr>
                      </w:pPr>
                      <w:r>
                        <w:rPr>
                          <w:rFonts w:hint="eastAsia" w:ascii="ＭＳ ゴシック" w:hAnsi="ＭＳ ゴシック" w:eastAsia="ＭＳ ゴシック"/>
                          <w:b w:val="1"/>
                          <w:color w:val="000000" w:themeColor="text1"/>
                          <w:sz w:val="20"/>
                          <w:u w:val="single" w:color="auto"/>
                        </w:rPr>
                        <w:t>要継続支援者</w:t>
                      </w:r>
                    </w:p>
                    <w:p>
                      <w:pPr>
                        <w:pStyle w:val="0"/>
                        <w:spacing w:line="240" w:lineRule="exact"/>
                        <w:rPr>
                          <w:rFonts w:hint="default"/>
                        </w:rPr>
                      </w:pPr>
                      <w:r>
                        <w:rPr>
                          <w:rFonts w:hint="eastAsia" w:ascii="ＭＳ ゴシック" w:hAnsi="ＭＳ ゴシック" w:eastAsia="ＭＳ ゴシック"/>
                          <w:color w:val="000000" w:themeColor="text1"/>
                          <w:sz w:val="16"/>
                        </w:rPr>
                        <w:t>継続的に福祉的・医療的ケアがなければ生命維持に支障をきたす人</w:t>
                      </w:r>
                      <w:r>
                        <w:rPr>
                          <w:rFonts w:hint="eastAsia" w:ascii="ＭＳ ゴシック" w:hAnsi="ＭＳ ゴシック" w:eastAsia="ＭＳ ゴシック"/>
                          <w:color w:val="000000" w:themeColor="text1"/>
                          <w:sz w:val="20"/>
                        </w:rPr>
                        <w:t>　約</w:t>
                      </w:r>
                      <w:r>
                        <w:rPr>
                          <w:rFonts w:hint="eastAsia" w:ascii="ＭＳ ゴシック" w:hAnsi="ＭＳ ゴシック" w:eastAsia="ＭＳ ゴシック"/>
                          <w:color w:val="000000" w:themeColor="text1"/>
                          <w:sz w:val="20"/>
                        </w:rPr>
                        <w:t>100</w:t>
                      </w:r>
                      <w:r>
                        <w:rPr>
                          <w:rFonts w:hint="eastAsia" w:ascii="ＭＳ ゴシック" w:hAnsi="ＭＳ ゴシック" w:eastAsia="ＭＳ ゴシック"/>
                          <w:color w:val="000000" w:themeColor="text1"/>
                          <w:sz w:val="20"/>
                        </w:rPr>
                        <w:t>人</w:t>
                      </w:r>
                    </w:p>
                  </w:txbxContent>
                </v:textbox>
                <v:imagedata o:title=""/>
                <w10:wrap type="none" anchorx="text" anchory="text"/>
              </v:rect>
            </w:pict>
          </mc:Fallback>
        </mc:AlternateContent>
      </w:r>
      <w:r>
        <w:rPr>
          <w:rFonts w:hint="default"/>
        </w:rPr>
        <mc:AlternateContent>
          <mc:Choice Requires="wps">
            <w:drawing>
              <wp:anchor distT="0" distB="0" distL="114300" distR="114300" simplePos="0" relativeHeight="201" behindDoc="0" locked="0" layoutInCell="1" hidden="0" allowOverlap="1">
                <wp:simplePos x="0" y="0"/>
                <wp:positionH relativeFrom="column">
                  <wp:posOffset>1628140</wp:posOffset>
                </wp:positionH>
                <wp:positionV relativeFrom="paragraph">
                  <wp:posOffset>63500</wp:posOffset>
                </wp:positionV>
                <wp:extent cx="4032250" cy="431800"/>
                <wp:effectExtent l="635" t="635" r="29845" b="10795"/>
                <wp:wrapNone/>
                <wp:docPr id="1298" name="四角形: 角を丸くする 2120"/>
                <a:graphic xmlns:a="http://schemas.openxmlformats.org/drawingml/2006/main">
                  <a:graphicData uri="http://schemas.microsoft.com/office/word/2010/wordprocessingShape">
                    <wps:wsp>
                      <wps:cNvPr id="1298" name="四角形: 角を丸くする 2120"/>
                      <wps:cNvSpPr/>
                      <wps:spPr>
                        <a:xfrm>
                          <a:off x="0" y="0"/>
                          <a:ext cx="4032250" cy="431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2120" style="mso-wrap-distance-right:9pt;mso-wrap-distance-bottom:0pt;margin-top:5pt;mso-position-vertical-relative:text;mso-position-horizontal-relative:text;position:absolute;height:34pt;mso-wrap-distance-top:0pt;width:317.5pt;mso-wrap-distance-left:9pt;margin-left:128.19pt;z-index:201;" o:spid="_x0000_s1298" o:allowincell="t" o:allowoverlap="t" filled="t" fillcolor="#ffffff [3212]" stroked="t" strokecolor="#32528f"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114300" distR="114300" simplePos="0" relativeHeight="205" behindDoc="0" locked="0" layoutInCell="1" hidden="0" allowOverlap="1">
                <wp:simplePos x="0" y="0"/>
                <wp:positionH relativeFrom="column">
                  <wp:posOffset>506095</wp:posOffset>
                </wp:positionH>
                <wp:positionV relativeFrom="paragraph">
                  <wp:posOffset>16510</wp:posOffset>
                </wp:positionV>
                <wp:extent cx="4413250" cy="439420"/>
                <wp:effectExtent l="0" t="0" r="635" b="635"/>
                <wp:wrapNone/>
                <wp:docPr id="1299" name="正方形/長方形 2124"/>
                <a:graphic xmlns:a="http://schemas.openxmlformats.org/drawingml/2006/main">
                  <a:graphicData uri="http://schemas.microsoft.com/office/word/2010/wordprocessingShape">
                    <wps:wsp>
                      <wps:cNvPr id="1299" name="正方形/長方形 2124"/>
                      <wps:cNvSpPr/>
                      <wps:spPr>
                        <a:xfrm>
                          <a:off x="0" y="0"/>
                          <a:ext cx="4413250" cy="439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※各対象者の概数は、平成</w:t>
                            </w:r>
                            <w:r>
                              <w:rPr>
                                <w:rFonts w:hint="eastAsia" w:ascii="ＭＳ ゴシック" w:hAnsi="ＭＳ ゴシック" w:eastAsia="ＭＳ ゴシック"/>
                                <w:color w:val="000000" w:themeColor="text1"/>
                                <w:sz w:val="16"/>
                              </w:rPr>
                              <w:t>28</w:t>
                            </w:r>
                            <w:r>
                              <w:rPr>
                                <w:rFonts w:hint="eastAsia" w:ascii="ＭＳ ゴシック" w:hAnsi="ＭＳ ゴシック" w:eastAsia="ＭＳ ゴシック"/>
                                <w:color w:val="000000" w:themeColor="text1"/>
                                <w:sz w:val="16"/>
                              </w:rPr>
                              <w:t>年５月時点の住民登録データを参考にしたもの</w:t>
                            </w:r>
                          </w:p>
                          <w:p>
                            <w:pPr>
                              <w:pStyle w:val="0"/>
                              <w:spacing w:line="240" w:lineRule="exact"/>
                              <w:rPr>
                                <w:rFonts w:hint="default"/>
                              </w:rPr>
                            </w:pPr>
                            <w:r>
                              <w:rPr>
                                <w:rFonts w:hint="eastAsia" w:ascii="ＭＳ ゴシック" w:hAnsi="ＭＳ ゴシック" w:eastAsia="ＭＳ ゴシック"/>
                                <w:color w:val="000000" w:themeColor="text1"/>
                                <w:sz w:val="16"/>
                              </w:rPr>
                              <w:t>資料：箕面市地域防災計画</w:t>
                            </w:r>
                          </w:p>
                        </w:txbxContent>
                      </wps:txbx>
                      <wps:bodyPr rot="0" vertOverflow="overflow" horzOverflow="overflow" wrap="square" numCol="1" spcCol="0" rtlCol="0" fromWordArt="0" anchor="t" anchorCtr="0" forceAA="0" compatLnSpc="1"/>
                    </wps:wsp>
                  </a:graphicData>
                </a:graphic>
              </wp:anchor>
            </w:drawing>
          </mc:Choice>
          <mc:Fallback>
            <w:pict>
              <v:rect id="正方形/長方形 2124" style="mso-wrap-distance-right:9pt;mso-wrap-distance-bottom:0pt;margin-top:1.3pt;mso-position-vertical-relative:text;mso-position-horizontal-relative:text;v-text-anchor:top;position:absolute;height:34.6pt;mso-wrap-distance-top:0pt;width:347.5pt;mso-wrap-distance-left:9pt;margin-left:39.85pt;z-index:205;" o:spid="_x0000_s1299" o:allowincell="t" o:allowoverlap="t" filled="f" stroked="f" strokecolor="#32528f" strokeweight="1pt" o:spt="1">
                <v:fill/>
                <v:stroke linestyle="single" miterlimit="8" endcap="flat" dashstyle="solid"/>
                <v:textbox style="layout-flow:horizontal;">
                  <w:txbxContent>
                    <w:p>
                      <w:pPr>
                        <w:pStyle w:val="0"/>
                        <w:spacing w:line="240" w:lineRule="exact"/>
                        <w:rPr>
                          <w:rFonts w:hint="default" w:ascii="ＭＳ ゴシック" w:hAnsi="ＭＳ ゴシック" w:eastAsia="ＭＳ ゴシック"/>
                          <w:color w:val="000000" w:themeColor="text1"/>
                          <w:sz w:val="16"/>
                        </w:rPr>
                      </w:pPr>
                      <w:r>
                        <w:rPr>
                          <w:rFonts w:hint="eastAsia" w:ascii="ＭＳ ゴシック" w:hAnsi="ＭＳ ゴシック" w:eastAsia="ＭＳ ゴシック"/>
                          <w:color w:val="000000" w:themeColor="text1"/>
                          <w:sz w:val="16"/>
                        </w:rPr>
                        <w:t>※各対象者の概数は、平成</w:t>
                      </w:r>
                      <w:r>
                        <w:rPr>
                          <w:rFonts w:hint="eastAsia" w:ascii="ＭＳ ゴシック" w:hAnsi="ＭＳ ゴシック" w:eastAsia="ＭＳ ゴシック"/>
                          <w:color w:val="000000" w:themeColor="text1"/>
                          <w:sz w:val="16"/>
                        </w:rPr>
                        <w:t>28</w:t>
                      </w:r>
                      <w:r>
                        <w:rPr>
                          <w:rFonts w:hint="eastAsia" w:ascii="ＭＳ ゴシック" w:hAnsi="ＭＳ ゴシック" w:eastAsia="ＭＳ ゴシック"/>
                          <w:color w:val="000000" w:themeColor="text1"/>
                          <w:sz w:val="16"/>
                        </w:rPr>
                        <w:t>年５月時点の住民登録データを参考にしたもの</w:t>
                      </w:r>
                    </w:p>
                    <w:p>
                      <w:pPr>
                        <w:pStyle w:val="0"/>
                        <w:spacing w:line="240" w:lineRule="exact"/>
                        <w:rPr>
                          <w:rFonts w:hint="default"/>
                        </w:rPr>
                      </w:pPr>
                      <w:r>
                        <w:rPr>
                          <w:rFonts w:hint="eastAsia" w:ascii="ＭＳ ゴシック" w:hAnsi="ＭＳ ゴシック" w:eastAsia="ＭＳ ゴシック"/>
                          <w:color w:val="000000" w:themeColor="text1"/>
                          <w:sz w:val="16"/>
                        </w:rPr>
                        <w:t>資料：箕面市地域防災計画</w:t>
                      </w:r>
                    </w:p>
                  </w:txbxContent>
                </v:textbox>
                <v:imagedata o:title=""/>
                <w10:wrap type="none" anchorx="text" anchory="text"/>
              </v:rect>
            </w:pict>
          </mc:Fallback>
        </mc:AlternateContent>
      </w:r>
    </w:p>
    <w:p>
      <w:pPr>
        <w:rPr>
          <w:rFonts w:hint="default"/>
        </w:rPr>
        <w:sectPr>
          <w:pgSz w:w="11906" w:h="16838"/>
          <w:pgMar w:top="1440" w:right="1077" w:bottom="907" w:left="1077" w:header="851" w:footer="454" w:gutter="0"/>
          <w:cols w:space="720"/>
          <w:textDirection w:val="lrTb"/>
          <w:docGrid w:type="lines" w:linePitch="360"/>
        </w:sectPr>
      </w:pPr>
    </w:p>
    <w:p>
      <w:pPr>
        <w:pStyle w:val="2"/>
        <w:rPr>
          <w:rFonts w:hint="default"/>
        </w:rPr>
      </w:pPr>
      <w:bookmarkStart w:id="182" w:name="_Toc59007873"/>
      <w:r>
        <w:rPr>
          <w:rFonts w:hint="default"/>
        </w:rPr>
        <w:drawing>
          <wp:anchor distT="0" distB="0" distL="114300" distR="114300" simplePos="0" relativeHeight="126" behindDoc="0" locked="0" layoutInCell="1" hidden="0" allowOverlap="1">
            <wp:simplePos x="0" y="0"/>
            <wp:positionH relativeFrom="column">
              <wp:posOffset>0</wp:posOffset>
            </wp:positionH>
            <wp:positionV relativeFrom="paragraph">
              <wp:posOffset>-431800</wp:posOffset>
            </wp:positionV>
            <wp:extent cx="6188710" cy="795020"/>
            <wp:effectExtent l="0" t="0" r="0" b="0"/>
            <wp:wrapNone/>
            <wp:docPr id="1300" name="5章.bmp" descr="アイコン&#10;&#10;自動的に生成された説明"/>
            <a:graphic xmlns:a="http://schemas.openxmlformats.org/drawingml/2006/main">
              <a:graphicData uri="http://schemas.openxmlformats.org/drawingml/2006/picture">
                <pic:pic xmlns:pic="http://schemas.openxmlformats.org/drawingml/2006/picture">
                  <pic:nvPicPr>
                    <pic:cNvPr id="1300" name="5章.bmp" descr="アイコン&#10;&#10;自動的に生成された説明"/>
                    <pic:cNvPicPr/>
                  </pic:nvPicPr>
                  <pic:blipFill>
                    <a:blip r:embed="rId104"/>
                    <a:stretch>
                      <a:fillRect/>
                    </a:stretch>
                  </pic:blipFill>
                  <pic:spPr>
                    <a:xfrm>
                      <a:off x="0" y="0"/>
                      <a:ext cx="6188710" cy="795020"/>
                    </a:xfrm>
                    <a:prstGeom prst="rect">
                      <a:avLst/>
                    </a:prstGeom>
                  </pic:spPr>
                </pic:pic>
              </a:graphicData>
            </a:graphic>
          </wp:anchor>
        </w:drawing>
      </w:r>
      <w:r>
        <w:rPr>
          <w:rFonts w:hint="eastAsia"/>
        </w:rPr>
        <w:t>第５章　介護サービス量等の見込み</w:t>
      </w:r>
      <w:bookmarkEnd w:id="182"/>
    </w:p>
    <w:p>
      <w:pPr>
        <w:pStyle w:val="3"/>
        <w:ind w:left="0" w:leftChars="0"/>
        <w:rPr>
          <w:rFonts w:hint="default"/>
        </w:rPr>
      </w:pPr>
      <w:bookmarkStart w:id="183" w:name="_Toc59007874"/>
      <w:r>
        <w:rPr>
          <w:rFonts w:hint="eastAsia" w:ascii="メイリオ" w:hAnsi="メイリオ" w:eastAsia="メイリオ"/>
          <w:b w:val="1"/>
          <w:sz w:val="32"/>
          <w:u w:val="single" w:color="auto"/>
        </w:rPr>
        <w:t>１．サービス利用者数及びサービス見込量（調整中）</w:t>
      </w:r>
      <w:bookmarkEnd w:id="183"/>
      <w:r>
        <w:rPr>
          <w:rFonts w:hint="eastAsia" w:ascii="メイリオ" w:hAnsi="メイリオ" w:eastAsia="メイリオ"/>
          <w:b w:val="1"/>
          <w:sz w:val="32"/>
          <w:u w:val="single" w:color="auto"/>
        </w:rPr>
        <w:t>　　　　　　　　　　　　　　　　</w:t>
      </w:r>
    </w:p>
    <w:p>
      <w:pPr>
        <w:pStyle w:val="4"/>
        <w:ind w:left="0" w:leftChars="0"/>
        <w:rPr>
          <w:rFonts w:hint="default" w:ascii="ＭＳ ゴシック" w:hAnsi="ＭＳ ゴシック" w:eastAsia="ＭＳ ゴシック"/>
        </w:rPr>
      </w:pPr>
      <w:bookmarkStart w:id="184" w:name="_Toc417551024"/>
      <w:bookmarkEnd w:id="184"/>
      <w:bookmarkStart w:id="185" w:name="_Toc417551028"/>
      <w:bookmarkEnd w:id="185"/>
      <w:bookmarkStart w:id="186" w:name="_Toc417551033"/>
      <w:bookmarkEnd w:id="186"/>
      <w:bookmarkStart w:id="187" w:name="_Toc417551034"/>
      <w:bookmarkEnd w:id="187"/>
      <w:bookmarkStart w:id="188" w:name="_Toc512263496"/>
      <w:bookmarkEnd w:id="188"/>
      <w:bookmarkStart w:id="189" w:name="_Toc512263497"/>
      <w:bookmarkEnd w:id="189"/>
      <w:bookmarkStart w:id="190" w:name="_Toc512263498"/>
      <w:bookmarkEnd w:id="190"/>
      <w:bookmarkStart w:id="191" w:name="_Toc512263499"/>
      <w:bookmarkEnd w:id="191"/>
      <w:bookmarkStart w:id="192" w:name="_Toc512263502"/>
      <w:bookmarkEnd w:id="192"/>
      <w:bookmarkStart w:id="193" w:name="_Toc59007875"/>
      <w:r>
        <w:rPr>
          <w:rFonts w:hint="eastAsia" w:ascii="ＭＳ ゴシック" w:hAnsi="ＭＳ ゴシック" w:eastAsia="ＭＳ ゴシック"/>
          <w:b w:val="0"/>
          <w:sz w:val="28"/>
        </w:rPr>
        <w:t>（１）人口推計</w:t>
      </w:r>
      <w:bookmarkEnd w:id="193"/>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194" w:name="_Toc59007876"/>
      <w:r>
        <w:rPr>
          <w:rFonts w:hint="eastAsia" w:ascii="ＭＳ ゴシック" w:hAnsi="ＭＳ ゴシック" w:eastAsia="ＭＳ ゴシック"/>
          <w:b w:val="0"/>
          <w:sz w:val="28"/>
        </w:rPr>
        <w:t>（２）要支援・要介護認定者数等の推計</w:t>
      </w:r>
      <w:bookmarkEnd w:id="194"/>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195" w:name="_Toc59007877"/>
      <w:r>
        <w:rPr>
          <w:rFonts w:hint="eastAsia" w:ascii="ＭＳ ゴシック" w:hAnsi="ＭＳ ゴシック" w:eastAsia="ＭＳ ゴシック"/>
          <w:b w:val="0"/>
          <w:sz w:val="28"/>
        </w:rPr>
        <w:t>（３）要支援・要介護認定者等の認定率の推計</w:t>
      </w:r>
      <w:bookmarkEnd w:id="195"/>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196" w:name="_Toc59007878"/>
      <w:r>
        <w:rPr>
          <w:rFonts w:hint="eastAsia" w:ascii="ＭＳ ゴシック" w:hAnsi="ＭＳ ゴシック" w:eastAsia="ＭＳ ゴシック"/>
          <w:b w:val="0"/>
          <w:sz w:val="28"/>
        </w:rPr>
        <w:t>（４）施設・居住系サービス利用者数の推計</w:t>
      </w:r>
      <w:bookmarkEnd w:id="196"/>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197" w:name="_Toc59007879"/>
      <w:r>
        <w:rPr>
          <w:rFonts w:hint="eastAsia" w:ascii="ＭＳ ゴシック" w:hAnsi="ＭＳ ゴシック" w:eastAsia="ＭＳ ゴシック"/>
          <w:b w:val="0"/>
          <w:sz w:val="28"/>
        </w:rPr>
        <w:t>（５）介護サービス見込量の推計</w:t>
      </w:r>
      <w:bookmarkEnd w:id="197"/>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198" w:name="_Toc59007880"/>
      <w:r>
        <w:rPr>
          <w:rFonts w:hint="eastAsia" w:ascii="ＭＳ ゴシック" w:hAnsi="ＭＳ ゴシック" w:eastAsia="ＭＳ ゴシック"/>
          <w:b w:val="0"/>
          <w:sz w:val="28"/>
        </w:rPr>
        <w:t>（６）介護予防サービス見込量の推計</w:t>
      </w:r>
      <w:bookmarkEnd w:id="198"/>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b w:val="0"/>
          <w:sz w:val="28"/>
        </w:rPr>
      </w:pPr>
      <w:bookmarkStart w:id="199" w:name="_Toc59007881"/>
      <w:r>
        <w:rPr>
          <w:rFonts w:hint="eastAsia" w:ascii="ＭＳ ゴシック" w:hAnsi="ＭＳ ゴシック" w:eastAsia="ＭＳ ゴシック"/>
          <w:b w:val="0"/>
          <w:sz w:val="28"/>
        </w:rPr>
        <w:t>（７）総給付費の推計</w:t>
      </w:r>
      <w:bookmarkEnd w:id="199"/>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0" w:name="_Toc59007882"/>
      <w:r>
        <w:rPr>
          <w:rFonts w:hint="eastAsia" w:ascii="ＭＳ ゴシック" w:hAnsi="ＭＳ ゴシック" w:eastAsia="ＭＳ ゴシック"/>
          <w:b w:val="0"/>
          <w:sz w:val="28"/>
        </w:rPr>
        <w:t>（８）標準給付費の推計</w:t>
      </w:r>
      <w:bookmarkEnd w:id="200"/>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1" w:name="_Toc59007883"/>
      <w:r>
        <w:rPr>
          <w:rFonts w:hint="eastAsia" w:ascii="ＭＳ ゴシック" w:hAnsi="ＭＳ ゴシック" w:eastAsia="ＭＳ ゴシック"/>
          <w:b w:val="0"/>
          <w:sz w:val="28"/>
        </w:rPr>
        <w:t>（９）地域支援事業費の推計</w:t>
      </w:r>
      <w:bookmarkEnd w:id="201"/>
    </w:p>
    <w:p>
      <w:pPr>
        <w:pStyle w:val="0"/>
        <w:rPr>
          <w:rFonts w:hint="default" w:ascii="ＭＳ ゴシック" w:hAnsi="ＭＳ ゴシック" w:eastAsia="ＭＳ ゴシック"/>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02" w:name="_Toc59007884"/>
      <w:r>
        <w:rPr>
          <w:rFonts w:hint="eastAsia" w:ascii="メイリオ" w:hAnsi="メイリオ" w:eastAsia="メイリオ"/>
          <w:b w:val="1"/>
          <w:sz w:val="32"/>
          <w:u w:val="single" w:color="auto"/>
        </w:rPr>
        <w:t>２．介護保険施設等の整備（調整中）</w:t>
      </w:r>
      <w:bookmarkEnd w:id="202"/>
      <w:r>
        <w:rPr>
          <w:rFonts w:hint="eastAsia" w:ascii="メイリオ" w:hAnsi="メイリオ" w:eastAsia="メイリオ"/>
          <w:b w:val="1"/>
          <w:sz w:val="32"/>
          <w:u w:val="single" w:color="auto"/>
        </w:rPr>
        <w:t>　　　　　　　　　　　　　　　　　　　　　　　</w:t>
      </w:r>
    </w:p>
    <w:p>
      <w:pPr>
        <w:pStyle w:val="4"/>
        <w:ind w:left="0" w:leftChars="0"/>
        <w:rPr>
          <w:rFonts w:hint="default" w:ascii="ＭＳ ゴシック" w:hAnsi="ＭＳ ゴシック" w:eastAsia="ＭＳ ゴシック"/>
        </w:rPr>
      </w:pPr>
      <w:bookmarkStart w:id="203" w:name="_Toc512263512"/>
      <w:bookmarkEnd w:id="203"/>
      <w:bookmarkStart w:id="204" w:name="_Toc59007885"/>
      <w:r>
        <w:rPr>
          <w:rFonts w:hint="eastAsia" w:ascii="ＭＳ ゴシック" w:hAnsi="ＭＳ ゴシック" w:eastAsia="ＭＳ ゴシック"/>
          <w:b w:val="0"/>
          <w:sz w:val="28"/>
        </w:rPr>
        <w:t>（１）介護老人福祉施設（特別養護老人ホーム）</w:t>
      </w:r>
      <w:bookmarkEnd w:id="204"/>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5" w:name="_Toc59007886"/>
      <w:r>
        <w:rPr>
          <w:rFonts w:hint="eastAsia" w:ascii="ＭＳ ゴシック" w:hAnsi="ＭＳ ゴシック" w:eastAsia="ＭＳ ゴシック"/>
          <w:b w:val="0"/>
          <w:sz w:val="28"/>
        </w:rPr>
        <w:t>（２）介護老人保健施設</w:t>
      </w:r>
      <w:bookmarkEnd w:id="205"/>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6" w:name="_Toc59007887"/>
      <w:r>
        <w:rPr>
          <w:rFonts w:hint="eastAsia" w:ascii="ＭＳ ゴシック" w:hAnsi="ＭＳ ゴシック" w:eastAsia="ＭＳ ゴシック"/>
          <w:b w:val="0"/>
          <w:sz w:val="28"/>
        </w:rPr>
        <w:t>（３）介護療養型医療施設</w:t>
      </w:r>
      <w:bookmarkEnd w:id="206"/>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7" w:name="_Toc59007888"/>
      <w:r>
        <w:rPr>
          <w:rFonts w:hint="eastAsia" w:ascii="ＭＳ ゴシック" w:hAnsi="ＭＳ ゴシック" w:eastAsia="ＭＳ ゴシック"/>
          <w:b w:val="0"/>
          <w:sz w:val="28"/>
        </w:rPr>
        <w:t>（４）介護医療院</w:t>
      </w:r>
      <w:bookmarkEnd w:id="207"/>
    </w:p>
    <w:p>
      <w:pPr>
        <w:pStyle w:val="0"/>
        <w:rPr>
          <w:rFonts w:hint="default" w:ascii="ＭＳ ゴシック" w:hAnsi="ＭＳ ゴシック" w:eastAsia="ＭＳ ゴシック"/>
        </w:rPr>
      </w:pPr>
    </w:p>
    <w:p>
      <w:pPr>
        <w:pStyle w:val="4"/>
        <w:ind w:left="0" w:leftChars="0" w:right="-175" w:rightChars="-73"/>
        <w:rPr>
          <w:rFonts w:hint="default" w:ascii="ＭＳ ゴシック" w:hAnsi="ＭＳ ゴシック" w:eastAsia="ＭＳ ゴシック"/>
          <w:b w:val="0"/>
        </w:rPr>
      </w:pPr>
      <w:bookmarkStart w:id="208" w:name="_Toc59007889"/>
      <w:r>
        <w:rPr>
          <w:rFonts w:hint="eastAsia" w:ascii="ＭＳ ゴシック" w:hAnsi="ＭＳ ゴシック" w:eastAsia="ＭＳ ゴシック"/>
          <w:b w:val="0"/>
          <w:sz w:val="28"/>
        </w:rPr>
        <w:t>（５）</w:t>
      </w:r>
      <w:r>
        <w:rPr>
          <w:rFonts w:hint="eastAsia" w:ascii="ＭＳ ゴシック" w:hAnsi="ＭＳ ゴシック" w:eastAsia="ＭＳ ゴシック"/>
          <w:b w:val="0"/>
          <w:spacing w:val="1"/>
          <w:w w:val="74"/>
          <w:kern w:val="0"/>
          <w:sz w:val="28"/>
          <w:fitText w:val="8680" w:id="17"/>
        </w:rPr>
        <w:t>地域密着型介護老人福祉施設入所者生活介護（定員</w:t>
      </w:r>
      <w:r>
        <w:rPr>
          <w:rFonts w:hint="default" w:ascii="ＭＳ ゴシック" w:hAnsi="ＭＳ ゴシック" w:eastAsia="ＭＳ ゴシック"/>
          <w:b w:val="0"/>
          <w:spacing w:val="1"/>
          <w:w w:val="74"/>
          <w:kern w:val="0"/>
          <w:sz w:val="28"/>
          <w:fitText w:val="8680" w:id="17"/>
        </w:rPr>
        <w:t>29</w:t>
      </w:r>
      <w:r>
        <w:rPr>
          <w:rFonts w:hint="default" w:ascii="ＭＳ ゴシック" w:hAnsi="ＭＳ ゴシック" w:eastAsia="ＭＳ ゴシック"/>
          <w:b w:val="0"/>
          <w:spacing w:val="1"/>
          <w:w w:val="74"/>
          <w:kern w:val="0"/>
          <w:sz w:val="28"/>
          <w:fitText w:val="8680" w:id="17"/>
        </w:rPr>
        <w:t>人以下の小規模特別養護老人ホーム</w:t>
      </w:r>
      <w:r>
        <w:rPr>
          <w:rFonts w:hint="default" w:ascii="ＭＳ ゴシック" w:hAnsi="ＭＳ ゴシック" w:eastAsia="ＭＳ ゴシック"/>
          <w:b w:val="0"/>
          <w:spacing w:val="31"/>
          <w:w w:val="74"/>
          <w:kern w:val="0"/>
          <w:sz w:val="28"/>
          <w:fitText w:val="8680" w:id="17"/>
        </w:rPr>
        <w:t>）</w:t>
      </w:r>
      <w:bookmarkEnd w:id="208"/>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rPr>
      </w:pPr>
      <w:bookmarkStart w:id="209" w:name="_Toc59007890"/>
      <w:r>
        <w:rPr>
          <w:rFonts w:hint="eastAsia" w:ascii="ＭＳ ゴシック" w:hAnsi="ＭＳ ゴシック" w:eastAsia="ＭＳ ゴシック"/>
          <w:b w:val="0"/>
          <w:sz w:val="28"/>
        </w:rPr>
        <w:t>（６）認知症対応型共同生活介護（グループホーム）</w:t>
      </w:r>
      <w:bookmarkEnd w:id="209"/>
    </w:p>
    <w:p>
      <w:pPr>
        <w:pStyle w:val="0"/>
        <w:rPr>
          <w:rFonts w:hint="default" w:ascii="ＭＳ ゴシック" w:hAnsi="ＭＳ ゴシック" w:eastAsia="ＭＳ ゴシック"/>
        </w:rPr>
      </w:pPr>
    </w:p>
    <w:p>
      <w:pPr>
        <w:pStyle w:val="4"/>
        <w:ind w:left="0" w:leftChars="0"/>
        <w:rPr>
          <w:rFonts w:hint="default" w:ascii="ＭＳ ゴシック" w:hAnsi="ＭＳ ゴシック" w:eastAsia="ＭＳ ゴシック"/>
          <w:b w:val="0"/>
          <w:sz w:val="28"/>
        </w:rPr>
      </w:pPr>
      <w:bookmarkStart w:id="210" w:name="_Toc59007891"/>
      <w:r>
        <w:rPr>
          <w:rFonts w:hint="eastAsia" w:ascii="ＭＳ ゴシック" w:hAnsi="ＭＳ ゴシック" w:eastAsia="ＭＳ ゴシック"/>
          <w:b w:val="0"/>
          <w:sz w:val="28"/>
        </w:rPr>
        <w:t>（７）特定施設入居者生活介護（介護付き有料老人ホーム）</w:t>
      </w:r>
      <w:bookmarkEnd w:id="210"/>
    </w:p>
    <w:p>
      <w:pPr>
        <w:pStyle w:val="0"/>
        <w:rPr>
          <w:rFonts w:hint="default" w:ascii="ＭＳ ゴシック" w:hAnsi="ＭＳ ゴシック" w:eastAsia="ＭＳ ゴシック"/>
        </w:rPr>
      </w:pPr>
    </w:p>
    <w:p>
      <w:pPr>
        <w:pStyle w:val="4"/>
        <w:ind w:left="0" w:leftChars="0" w:right="-458" w:rightChars="-191"/>
        <w:rPr>
          <w:rFonts w:hint="default" w:ascii="ＭＳ ゴシック" w:hAnsi="ＭＳ ゴシック" w:eastAsia="ＭＳ ゴシック"/>
        </w:rPr>
      </w:pPr>
      <w:bookmarkStart w:id="211" w:name="_Toc59007892"/>
      <w:r>
        <w:rPr>
          <w:rFonts w:hint="eastAsia" w:ascii="ＭＳ ゴシック" w:hAnsi="ＭＳ ゴシック" w:eastAsia="ＭＳ ゴシック"/>
          <w:b w:val="0"/>
          <w:sz w:val="28"/>
        </w:rPr>
        <w:t>（８）</w:t>
      </w:r>
      <w:r>
        <w:rPr>
          <w:rFonts w:hint="eastAsia" w:ascii="ＭＳ ゴシック" w:hAnsi="ＭＳ ゴシック" w:eastAsia="ＭＳ ゴシック"/>
          <w:b w:val="0"/>
          <w:spacing w:val="1"/>
          <w:w w:val="93"/>
          <w:kern w:val="0"/>
          <w:sz w:val="28"/>
          <w:fitText w:val="8680" w:id="18"/>
        </w:rPr>
        <w:t>地域密着型特定施設入居者生活介護（小規模の介護付き有料老人ホーム</w:t>
      </w:r>
      <w:r>
        <w:rPr>
          <w:rFonts w:hint="eastAsia" w:ascii="ＭＳ ゴシック" w:hAnsi="ＭＳ ゴシック" w:eastAsia="ＭＳ ゴシック"/>
          <w:b w:val="0"/>
          <w:spacing w:val="13"/>
          <w:w w:val="93"/>
          <w:kern w:val="0"/>
          <w:sz w:val="28"/>
          <w:fitText w:val="8680" w:id="18"/>
        </w:rPr>
        <w:t>）</w:t>
      </w:r>
      <w:bookmarkEnd w:id="211"/>
    </w:p>
    <w:p>
      <w:pPr>
        <w:pStyle w:val="0"/>
        <w:rPr>
          <w:rFonts w:hint="default"/>
        </w:rPr>
      </w:pPr>
      <w:bookmarkStart w:id="212" w:name="_Toc512263519"/>
      <w:bookmarkEnd w:id="212"/>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13" w:name="_Toc59007893"/>
      <w:r>
        <w:rPr>
          <w:rFonts w:hint="eastAsia" w:ascii="メイリオ" w:hAnsi="メイリオ" w:eastAsia="メイリオ"/>
          <w:b w:val="1"/>
          <w:sz w:val="32"/>
          <w:u w:val="single" w:color="auto"/>
        </w:rPr>
        <w:t>３．保険料の算定（調整中）</w:t>
      </w:r>
      <w:bookmarkEnd w:id="213"/>
      <w:r>
        <w:rPr>
          <w:rFonts w:hint="eastAsia" w:ascii="メイリオ" w:hAnsi="メイリオ" w:eastAsia="メイリオ"/>
          <w:b w:val="1"/>
          <w:sz w:val="32"/>
          <w:u w:val="single" w:color="auto"/>
        </w:rPr>
        <w:t>　　　　　　　　　　　　　　　　　　　　　　　　</w:t>
      </w:r>
    </w:p>
    <w:p>
      <w:pPr>
        <w:pStyle w:val="0"/>
        <w:rPr>
          <w:rFonts w:hint="default"/>
        </w:rPr>
      </w:pPr>
    </w:p>
    <w:p>
      <w:pPr>
        <w:pStyle w:val="0"/>
        <w:rPr>
          <w:rFonts w:hint="default"/>
        </w:rPr>
      </w:pPr>
      <w:r>
        <w:rPr>
          <w:rFonts w:hint="eastAsia" w:ascii="ＭＳ ゴシック" w:hAnsi="ＭＳ ゴシック" w:eastAsia="ＭＳ ゴシック"/>
        </w:rPr>
        <w:t>※第８期保険料にかかる現時点での考えかたについては、別添「第８期高齢者保健福祉計画・介護保険事業計画（素案）【概要版】」の「第８期保険料の考えかた」をご参照ください。</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2"/>
        <w:rPr>
          <w:rFonts w:hint="default"/>
        </w:rPr>
      </w:pPr>
      <w:bookmarkStart w:id="214" w:name="_Toc59007894"/>
      <w:r>
        <w:rPr>
          <w:rFonts w:hint="default"/>
        </w:rPr>
        <w:drawing>
          <wp:anchor distT="0" distB="0" distL="114300" distR="114300" simplePos="0" relativeHeight="127" behindDoc="0" locked="0" layoutInCell="1" hidden="0" allowOverlap="1">
            <wp:simplePos x="0" y="0"/>
            <wp:positionH relativeFrom="column">
              <wp:posOffset>0</wp:posOffset>
            </wp:positionH>
            <wp:positionV relativeFrom="paragraph">
              <wp:posOffset>-431800</wp:posOffset>
            </wp:positionV>
            <wp:extent cx="6188710" cy="803275"/>
            <wp:effectExtent l="0" t="0" r="0" b="0"/>
            <wp:wrapNone/>
            <wp:docPr id="1301" name="6章.bmp" descr="テキスト&#10;&#10;自動的に生成された説明"/>
            <a:graphic xmlns:a="http://schemas.openxmlformats.org/drawingml/2006/main">
              <a:graphicData uri="http://schemas.openxmlformats.org/drawingml/2006/picture">
                <pic:pic xmlns:pic="http://schemas.openxmlformats.org/drawingml/2006/picture">
                  <pic:nvPicPr>
                    <pic:cNvPr id="1301" name="6章.bmp" descr="テキスト&#10;&#10;自動的に生成された説明"/>
                    <pic:cNvPicPr/>
                  </pic:nvPicPr>
                  <pic:blipFill>
                    <a:blip r:embed="rId105"/>
                    <a:stretch>
                      <a:fillRect/>
                    </a:stretch>
                  </pic:blipFill>
                  <pic:spPr>
                    <a:xfrm>
                      <a:off x="0" y="0"/>
                      <a:ext cx="6188710" cy="803275"/>
                    </a:xfrm>
                    <a:prstGeom prst="rect">
                      <a:avLst/>
                    </a:prstGeom>
                  </pic:spPr>
                </pic:pic>
              </a:graphicData>
            </a:graphic>
          </wp:anchor>
        </w:drawing>
      </w:r>
      <w:r>
        <w:rPr>
          <w:rFonts w:hint="eastAsia"/>
        </w:rPr>
        <w:t>第６章　計画の推進体制</w:t>
      </w:r>
      <w:bookmarkEnd w:id="214"/>
    </w:p>
    <w:p>
      <w:pPr>
        <w:pStyle w:val="3"/>
        <w:ind w:left="0" w:leftChars="0"/>
        <w:rPr>
          <w:rFonts w:hint="default" w:ascii="メイリオ" w:hAnsi="メイリオ" w:eastAsia="メイリオ"/>
          <w:b w:val="1"/>
          <w:sz w:val="28"/>
          <w:u w:val="single" w:color="auto"/>
        </w:rPr>
      </w:pPr>
      <w:bookmarkStart w:id="215" w:name="_Toc59007895"/>
      <w:r>
        <w:rPr>
          <w:rFonts w:hint="eastAsia" w:ascii="メイリオ" w:hAnsi="メイリオ" w:eastAsia="メイリオ"/>
          <w:b w:val="1"/>
          <w:sz w:val="32"/>
          <w:u w:val="single" w:color="auto"/>
        </w:rPr>
        <w:t>１．計画の進行管理</w:t>
      </w:r>
      <w:bookmarkEnd w:id="215"/>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本市の附属</w:t>
      </w:r>
      <w:bookmarkStart w:id="216" w:name="_Toc442"/>
      <w:bookmarkEnd w:id="216"/>
      <w:bookmarkStart w:id="217" w:name="_Toc496351895"/>
      <w:bookmarkEnd w:id="217"/>
      <w:r>
        <w:rPr>
          <w:rFonts w:hint="eastAsia"/>
        </w:rPr>
        <w:t>機関である「箕面市保健医療福祉総合審議会」や「箕面市介護サービス評価専門員会議」の場において、高齢者保健福祉施策や介護保険事業に関する進捗状況の把握・評価を行うとともに、計画推進に際しての問題点・課題の抽出及び対応策などについて検討を行います。</w:t>
      </w:r>
    </w:p>
    <w:p>
      <w:pPr>
        <w:pStyle w:val="0"/>
        <w:ind w:firstLine="240" w:firstLineChars="100"/>
        <w:jc w:val="both"/>
        <w:rPr>
          <w:rFonts w:hint="default"/>
        </w:rPr>
      </w:pPr>
      <w:r>
        <w:rPr>
          <w:rFonts w:hint="eastAsia"/>
        </w:rPr>
        <w:t>計画の進捗状況や評価結果、計画に関する検討結果などについては、市ホームページ等様々な媒体を活用して市民への公表を行います。</w:t>
      </w:r>
    </w:p>
    <w:p>
      <w:pPr>
        <w:pStyle w:val="0"/>
        <w:rPr>
          <w:rFonts w:hint="default"/>
        </w:rPr>
      </w:pPr>
    </w:p>
    <w:p>
      <w:pPr>
        <w:pStyle w:val="3"/>
        <w:ind w:left="0" w:leftChars="0"/>
        <w:rPr>
          <w:rFonts w:hint="default" w:ascii="メイリオ" w:hAnsi="メイリオ" w:eastAsia="メイリオ"/>
          <w:b w:val="1"/>
          <w:sz w:val="28"/>
          <w:u w:val="single" w:color="auto"/>
        </w:rPr>
      </w:pPr>
      <w:bookmarkStart w:id="218" w:name="_Toc59007896"/>
      <w:r>
        <w:rPr>
          <w:rFonts w:hint="eastAsia" w:ascii="メイリオ" w:hAnsi="メイリオ" w:eastAsia="メイリオ"/>
          <w:b w:val="1"/>
          <w:sz w:val="32"/>
          <w:u w:val="single" w:color="auto"/>
        </w:rPr>
        <w:t>２．庁内における連携体制の強化</w:t>
      </w:r>
      <w:bookmarkEnd w:id="218"/>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本計画の推進にあたっては、計画を主管する健康福祉部だけでなく、庁内の関係部署が連携し、施策・事業を展開していく必要があります。</w:t>
      </w:r>
    </w:p>
    <w:p>
      <w:pPr>
        <w:pStyle w:val="0"/>
        <w:ind w:firstLine="240" w:firstLineChars="100"/>
        <w:jc w:val="both"/>
        <w:rPr>
          <w:rFonts w:hint="default"/>
        </w:rPr>
      </w:pPr>
      <w:r>
        <w:rPr>
          <w:rFonts w:hint="eastAsia"/>
        </w:rPr>
        <w:t>そのためにも、地域福祉をはじめ健康づくり、生涯学習、スポーツ、住宅政策、都市計画などの関係部署間の連携強化を進め、情報共有や施策・事業の調整を行います。</w:t>
      </w:r>
    </w:p>
    <w:p>
      <w:pPr>
        <w:pStyle w:val="0"/>
        <w:rPr>
          <w:rFonts w:hint="default"/>
        </w:rPr>
      </w:pPr>
    </w:p>
    <w:p>
      <w:pPr>
        <w:pStyle w:val="3"/>
        <w:ind w:left="0" w:leftChars="0"/>
        <w:rPr>
          <w:rFonts w:hint="default" w:ascii="メイリオ" w:hAnsi="メイリオ" w:eastAsia="メイリオ"/>
          <w:b w:val="1"/>
          <w:sz w:val="28"/>
          <w:u w:val="single" w:color="auto"/>
        </w:rPr>
      </w:pPr>
      <w:bookmarkStart w:id="219" w:name="_Toc494210971"/>
      <w:bookmarkStart w:id="220" w:name="_Toc494210977"/>
      <w:bookmarkStart w:id="221" w:name="_Toc59007897"/>
      <w:r>
        <w:rPr>
          <w:rFonts w:hint="eastAsia" w:ascii="メイリオ" w:hAnsi="メイリオ" w:eastAsia="メイリオ"/>
          <w:b w:val="1"/>
          <w:sz w:val="32"/>
          <w:u w:val="single" w:color="auto"/>
        </w:rPr>
        <w:t>３．関係機関・団体や民間事業者等との連携</w:t>
      </w:r>
      <w:bookmarkEnd w:id="219"/>
      <w:bookmarkEnd w:id="220"/>
      <w:bookmarkEnd w:id="221"/>
      <w:r>
        <w:rPr>
          <w:rFonts w:hint="eastAsia" w:ascii="メイリオ" w:hAnsi="メイリオ" w:eastAsia="メイリオ"/>
          <w:b w:val="1"/>
          <w:sz w:val="32"/>
          <w:u w:val="single" w:color="auto"/>
        </w:rPr>
        <w:t>　　　　　　　　　　　　　　　　　　</w:t>
      </w:r>
    </w:p>
    <w:p>
      <w:pPr>
        <w:pStyle w:val="0"/>
        <w:ind w:firstLine="240" w:firstLineChars="100"/>
        <w:jc w:val="both"/>
        <w:rPr>
          <w:rFonts w:hint="default"/>
        </w:rPr>
      </w:pPr>
      <w:r>
        <w:rPr>
          <w:rFonts w:hint="eastAsia"/>
        </w:rPr>
        <w:t>本計画は、高齢者が住み慣れた地域において安心して暮らしていくことができるよう、地域全体で高齢者を支援できる体制づくりを進める計画となります。</w:t>
      </w:r>
    </w:p>
    <w:p>
      <w:pPr>
        <w:pStyle w:val="0"/>
        <w:ind w:firstLine="240" w:firstLineChars="100"/>
        <w:jc w:val="both"/>
        <w:rPr>
          <w:rFonts w:hint="default"/>
        </w:rPr>
      </w:pPr>
      <w:r>
        <w:rPr>
          <w:rFonts w:hint="eastAsia"/>
        </w:rPr>
        <w:t>そのためにも、市はもとより、関係団体・機関や民間事業者などの高齢者を支援する各主体の役割分担を明確にしつつ、各主体間の連携強化を進めます。</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rPr>
          <w:rFonts w:hint="default"/>
        </w:rPr>
        <w:sectPr>
          <w:pgSz w:w="11906" w:h="16838"/>
          <w:pgMar w:top="1440" w:right="1080" w:bottom="1440" w:left="1080" w:header="851" w:footer="454" w:gutter="0"/>
          <w:cols w:space="720"/>
          <w:textDirection w:val="lrTb"/>
          <w:docGrid w:type="lines" w:linePitch="360"/>
        </w:sectPr>
      </w:pPr>
    </w:p>
    <w:p>
      <w:pPr>
        <w:pStyle w:val="2"/>
        <w:rPr>
          <w:rFonts w:hint="default"/>
        </w:rPr>
      </w:pPr>
      <w:bookmarkStart w:id="222" w:name="_Toc59007898"/>
      <w:r>
        <w:rPr>
          <w:rFonts w:hint="default"/>
        </w:rPr>
        <w:drawing>
          <wp:anchor distT="0" distB="0" distL="114300" distR="114300" simplePos="0" relativeHeight="128" behindDoc="0" locked="0" layoutInCell="1" hidden="0" allowOverlap="1">
            <wp:simplePos x="0" y="0"/>
            <wp:positionH relativeFrom="column">
              <wp:posOffset>0</wp:posOffset>
            </wp:positionH>
            <wp:positionV relativeFrom="paragraph">
              <wp:posOffset>-71755</wp:posOffset>
            </wp:positionV>
            <wp:extent cx="6188710" cy="484505"/>
            <wp:effectExtent l="0" t="0" r="0" b="0"/>
            <wp:wrapNone/>
            <wp:docPr id="1302" name="資料編.bmp"/>
            <a:graphic xmlns:a="http://schemas.openxmlformats.org/drawingml/2006/main">
              <a:graphicData uri="http://schemas.openxmlformats.org/drawingml/2006/picture">
                <pic:pic xmlns:pic="http://schemas.openxmlformats.org/drawingml/2006/picture">
                  <pic:nvPicPr>
                    <pic:cNvPr id="1302" name="資料編.bmp"/>
                    <pic:cNvPicPr/>
                  </pic:nvPicPr>
                  <pic:blipFill>
                    <a:blip r:embed="rId107"/>
                    <a:stretch>
                      <a:fillRect/>
                    </a:stretch>
                  </pic:blipFill>
                  <pic:spPr>
                    <a:xfrm>
                      <a:off x="0" y="0"/>
                      <a:ext cx="6188710" cy="484505"/>
                    </a:xfrm>
                    <a:prstGeom prst="rect">
                      <a:avLst/>
                    </a:prstGeom>
                  </pic:spPr>
                </pic:pic>
              </a:graphicData>
            </a:graphic>
          </wp:anchor>
        </w:drawing>
      </w:r>
      <w:r>
        <w:rPr>
          <w:rFonts w:hint="eastAsia"/>
        </w:rPr>
        <w:t>資料編</w:t>
      </w:r>
      <w:bookmarkEnd w:id="222"/>
    </w:p>
    <w:p>
      <w:pPr>
        <w:pStyle w:val="3"/>
        <w:ind w:left="0" w:leftChars="0"/>
        <w:rPr>
          <w:rFonts w:hint="default" w:ascii="メイリオ" w:hAnsi="メイリオ" w:eastAsia="メイリオ"/>
          <w:b w:val="1"/>
          <w:sz w:val="28"/>
          <w:u w:val="single" w:color="auto"/>
        </w:rPr>
      </w:pPr>
      <w:bookmarkStart w:id="223" w:name="_Toc512263367"/>
      <w:bookmarkStart w:id="224" w:name="_Toc512263389"/>
      <w:bookmarkStart w:id="225" w:name="_Toc59007899"/>
      <w:r>
        <w:rPr>
          <w:rFonts w:hint="eastAsia" w:ascii="メイリオ" w:hAnsi="メイリオ" w:eastAsia="メイリオ"/>
          <w:b w:val="1"/>
          <w:sz w:val="32"/>
          <w:u w:val="single" w:color="auto"/>
        </w:rPr>
        <w:t>１．地域保健及び地</w:t>
      </w:r>
      <w:bookmarkStart w:id="226" w:name="_Toc512263416"/>
      <w:bookmarkStart w:id="227" w:name="_Toc512263426"/>
      <w:r>
        <w:rPr>
          <w:rFonts w:hint="eastAsia" w:ascii="メイリオ" w:hAnsi="メイリオ" w:eastAsia="メイリオ"/>
          <w:b w:val="1"/>
          <w:sz w:val="32"/>
          <w:u w:val="single" w:color="auto"/>
        </w:rPr>
        <w:t>域福祉の施策について</w:t>
      </w:r>
      <w:bookmarkEnd w:id="223"/>
      <w:bookmarkEnd w:id="224"/>
      <w:bookmarkEnd w:id="225"/>
      <w:r>
        <w:rPr>
          <w:rFonts w:hint="eastAsia" w:ascii="メイリオ" w:hAnsi="メイリオ" w:eastAsia="メイリオ"/>
          <w:b w:val="1"/>
          <w:sz w:val="32"/>
          <w:u w:val="single" w:color="auto"/>
        </w:rPr>
        <w:t>　　　　　</w:t>
      </w:r>
      <w:bookmarkEnd w:id="226"/>
      <w:bookmarkEnd w:id="227"/>
      <w:r>
        <w:rPr>
          <w:rFonts w:hint="eastAsia" w:ascii="メイリオ" w:hAnsi="メイリオ" w:eastAsia="メイリオ"/>
          <w:b w:val="1"/>
          <w:sz w:val="32"/>
          <w:u w:val="single" w:color="auto"/>
        </w:rPr>
        <w:t>　　　　　　　　　　　　</w:t>
      </w: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28" w:name="_Toc512263390"/>
      <w:bookmarkStart w:id="229" w:name="_Toc512263400"/>
      <w:bookmarkStart w:id="230" w:name="_Toc59007900"/>
      <w:r>
        <w:rPr>
          <w:rFonts w:hint="eastAsia" w:ascii="メイリオ" w:hAnsi="メイリオ" w:eastAsia="メイリオ"/>
          <w:b w:val="1"/>
          <w:sz w:val="32"/>
          <w:u w:val="single" w:color="auto"/>
        </w:rPr>
        <w:t>２．箕面市保健医療</w:t>
      </w:r>
      <w:bookmarkStart w:id="231" w:name="_Toc512263427"/>
      <w:bookmarkStart w:id="232" w:name="_Toc512263445"/>
      <w:r>
        <w:rPr>
          <w:rFonts w:hint="eastAsia" w:ascii="メイリオ" w:hAnsi="メイリオ" w:eastAsia="メイリオ"/>
          <w:b w:val="1"/>
          <w:sz w:val="32"/>
          <w:u w:val="single" w:color="auto"/>
        </w:rPr>
        <w:t>福祉総合審議会</w:t>
      </w:r>
      <w:bookmarkEnd w:id="228"/>
      <w:bookmarkEnd w:id="229"/>
      <w:bookmarkEnd w:id="230"/>
      <w:r>
        <w:rPr>
          <w:rFonts w:hint="eastAsia" w:ascii="メイリオ" w:hAnsi="メイリオ" w:eastAsia="メイリオ"/>
          <w:b w:val="1"/>
          <w:sz w:val="32"/>
          <w:u w:val="single" w:color="auto"/>
        </w:rPr>
        <w:t>　　　　　　　　　　　</w:t>
      </w:r>
      <w:bookmarkEnd w:id="231"/>
      <w:bookmarkEnd w:id="232"/>
      <w:r>
        <w:rPr>
          <w:rFonts w:hint="eastAsia" w:ascii="メイリオ" w:hAnsi="メイリオ" w:eastAsia="メイリオ"/>
          <w:b w:val="1"/>
          <w:sz w:val="32"/>
          <w:u w:val="single" w:color="auto"/>
        </w:rPr>
        <w:t>　　　　　　　　　</w:t>
      </w: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33" w:name="_Toc512263401"/>
      <w:bookmarkStart w:id="234" w:name="_Toc512263402"/>
      <w:bookmarkStart w:id="235" w:name="_Toc59007901"/>
      <w:r>
        <w:rPr>
          <w:rFonts w:hint="eastAsia" w:ascii="メイリオ" w:hAnsi="メイリオ" w:eastAsia="メイリオ"/>
          <w:b w:val="1"/>
          <w:sz w:val="32"/>
          <w:u w:val="single" w:color="auto"/>
        </w:rPr>
        <w:t>３．箕面市介護サービス評</w:t>
      </w:r>
      <w:bookmarkStart w:id="236" w:name="_Toc512263446"/>
      <w:bookmarkStart w:id="237" w:name="_Toc512263449"/>
      <w:r>
        <w:rPr>
          <w:rFonts w:hint="eastAsia" w:ascii="メイリオ" w:hAnsi="メイリオ" w:eastAsia="メイリオ"/>
          <w:b w:val="1"/>
          <w:sz w:val="32"/>
          <w:u w:val="single" w:color="auto"/>
        </w:rPr>
        <w:t>価専門員会議</w:t>
      </w:r>
      <w:bookmarkEnd w:id="233"/>
      <w:bookmarkEnd w:id="234"/>
      <w:bookmarkEnd w:id="236"/>
      <w:bookmarkEnd w:id="237"/>
      <w:bookmarkEnd w:id="235"/>
      <w:r>
        <w:rPr>
          <w:rFonts w:hint="eastAsia" w:ascii="メイリオ" w:hAnsi="メイリオ" w:eastAsia="メイリオ"/>
          <w:b w:val="1"/>
          <w:sz w:val="32"/>
          <w:u w:val="single" w:color="auto"/>
        </w:rPr>
        <w:t>　　　　　　　　　　　　　　　　　</w:t>
      </w: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38" w:name="_Toc512263410"/>
      <w:bookmarkStart w:id="239" w:name="_Toc512263411"/>
      <w:bookmarkStart w:id="240" w:name="_Toc59007902"/>
      <w:r>
        <w:rPr>
          <w:rFonts w:hint="eastAsia" w:ascii="メイリオ" w:hAnsi="メイリオ" w:eastAsia="メイリオ"/>
          <w:b w:val="1"/>
          <w:sz w:val="32"/>
          <w:u w:val="single" w:color="auto"/>
        </w:rPr>
        <w:t>４．箕面市高齢者等介護</w:t>
      </w:r>
      <w:bookmarkStart w:id="241" w:name="_Toc512263453"/>
      <w:bookmarkStart w:id="242" w:name="_Toc512263458"/>
      <w:r>
        <w:rPr>
          <w:rFonts w:hint="eastAsia" w:ascii="メイリオ" w:hAnsi="メイリオ" w:eastAsia="メイリオ"/>
          <w:b w:val="1"/>
          <w:sz w:val="32"/>
          <w:u w:val="single" w:color="auto"/>
        </w:rPr>
        <w:t>総合条例</w:t>
      </w:r>
      <w:bookmarkEnd w:id="238"/>
      <w:bookmarkEnd w:id="239"/>
      <w:bookmarkEnd w:id="240"/>
      <w:r>
        <w:rPr>
          <w:rFonts w:hint="eastAsia" w:ascii="メイリオ" w:hAnsi="メイリオ" w:eastAsia="メイリオ"/>
          <w:b w:val="1"/>
          <w:sz w:val="32"/>
          <w:u w:val="single" w:color="auto"/>
        </w:rPr>
        <w:t>　　　　　　　　　</w:t>
      </w:r>
      <w:bookmarkEnd w:id="241"/>
      <w:bookmarkEnd w:id="242"/>
      <w:r>
        <w:rPr>
          <w:rFonts w:hint="eastAsia" w:ascii="メイリオ" w:hAnsi="メイリオ" w:eastAsia="メイリオ"/>
          <w:b w:val="1"/>
          <w:sz w:val="32"/>
          <w:u w:val="single" w:color="auto"/>
        </w:rPr>
        <w:t>　　　　　　　　　　　　</w:t>
      </w:r>
    </w:p>
    <w:p>
      <w:pPr>
        <w:pStyle w:val="0"/>
        <w:rPr>
          <w:rFonts w:hint="default"/>
        </w:rPr>
      </w:pPr>
    </w:p>
    <w:p>
      <w:pPr>
        <w:pStyle w:val="0"/>
        <w:rPr>
          <w:rFonts w:hint="default"/>
        </w:rPr>
      </w:pPr>
    </w:p>
    <w:p>
      <w:pPr>
        <w:pStyle w:val="3"/>
        <w:ind w:left="0" w:leftChars="0"/>
        <w:rPr>
          <w:rFonts w:hint="default" w:ascii="メイリオ" w:hAnsi="メイリオ" w:eastAsia="メイリオ"/>
          <w:b w:val="1"/>
          <w:sz w:val="28"/>
          <w:u w:val="single" w:color="auto"/>
        </w:rPr>
      </w:pPr>
      <w:bookmarkStart w:id="243" w:name="_Toc512263412"/>
      <w:bookmarkStart w:id="244" w:name="_Toc512263436"/>
      <w:bookmarkStart w:id="245" w:name="_Toc59007903"/>
      <w:r>
        <w:rPr>
          <w:rFonts w:hint="eastAsia" w:ascii="メイリオ" w:hAnsi="メイリオ" w:eastAsia="メイリオ"/>
          <w:b w:val="1"/>
          <w:sz w:val="32"/>
          <w:u w:val="single" w:color="auto"/>
        </w:rPr>
        <w:t>５．第１号被保険者の保険料推計報告書</w:t>
      </w:r>
      <w:bookmarkEnd w:id="243"/>
      <w:bookmarkEnd w:id="244"/>
      <w:bookmarkEnd w:id="245"/>
      <w:r>
        <w:rPr>
          <w:rFonts w:hint="eastAsia" w:ascii="メイリオ" w:hAnsi="メイリオ" w:eastAsia="メイリオ"/>
          <w:b w:val="1"/>
          <w:sz w:val="32"/>
          <w:u w:val="single" w:color="auto"/>
        </w:rPr>
        <w:t>　　　　　　　　　　　　　　　　　　　　　</w:t>
      </w:r>
    </w:p>
    <w:p>
      <w:pPr>
        <w:pStyle w:val="0"/>
        <w:rPr>
          <w:rFonts w:hint="default"/>
        </w:rPr>
      </w:pPr>
    </w:p>
    <w:p>
      <w:pPr>
        <w:pStyle w:val="0"/>
        <w:rPr>
          <w:rFonts w:hint="default"/>
        </w:rPr>
      </w:pPr>
    </w:p>
    <w:p>
      <w:pPr>
        <w:pStyle w:val="3"/>
        <w:ind w:left="0" w:leftChars="0"/>
        <w:rPr>
          <w:rFonts w:hint="default" w:ascii="メイリオ" w:hAnsi="メイリオ" w:eastAsia="メイリオ"/>
          <w:b w:val="1"/>
          <w:sz w:val="32"/>
          <w:u w:val="single" w:color="auto"/>
        </w:rPr>
        <w:sectPr>
          <w:headerReference r:id="rId106" w:type="default"/>
          <w:pgSz w:w="11906" w:h="16838"/>
          <w:pgMar w:top="1440" w:right="1080" w:bottom="1440" w:left="1080" w:header="851" w:footer="454" w:gutter="0"/>
          <w:cols w:space="720"/>
          <w:textDirection w:val="lrTb"/>
          <w:docGrid w:type="lines" w:linePitch="360"/>
        </w:sectPr>
      </w:pPr>
      <w:bookmarkStart w:id="246" w:name="_Toc512263437"/>
      <w:bookmarkStart w:id="247" w:name="_Toc512263438"/>
    </w:p>
    <w:p>
      <w:pPr>
        <w:pStyle w:val="3"/>
        <w:ind w:left="0" w:leftChars="0"/>
        <w:rPr>
          <w:rFonts w:hint="default" w:ascii="メイリオ" w:hAnsi="メイリオ" w:eastAsia="メイリオ"/>
          <w:b w:val="1"/>
          <w:sz w:val="28"/>
          <w:u w:val="single" w:color="auto"/>
        </w:rPr>
      </w:pPr>
      <w:bookmarkStart w:id="248" w:name="_Toc59007904"/>
      <w:r>
        <w:rPr>
          <w:rFonts w:hint="eastAsia" w:ascii="メイリオ" w:hAnsi="メイリオ" w:eastAsia="メイリオ"/>
          <w:b w:val="1"/>
          <w:sz w:val="32"/>
          <w:u w:val="single" w:color="auto"/>
        </w:rPr>
        <w:t>６．用語解説</w:t>
      </w:r>
      <w:bookmarkEnd w:id="246"/>
      <w:bookmarkEnd w:id="247"/>
      <w:bookmarkEnd w:id="248"/>
      <w:r>
        <w:rPr>
          <w:rFonts w:hint="eastAsia" w:ascii="メイリオ" w:hAnsi="メイリオ" w:eastAsia="メイリオ"/>
          <w:b w:val="1"/>
          <w:sz w:val="32"/>
          <w:u w:val="single" w:color="auto"/>
        </w:rPr>
        <w:t>　　　　　　　　　　　　　　　　　　　　　　　　　　　　</w:t>
      </w:r>
    </w:p>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【あ行】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ＡＣＰ（アドバンス・ケア・プランニング）</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color w:val="000000" w:themeColor="text1"/>
                <w:sz w:val="24"/>
              </w:rPr>
              <w:t>本人が自らの意思を伝えられない状態になる前に備える</w:t>
            </w:r>
            <w:r>
              <w:rPr>
                <w:rFonts w:hint="eastAsia" w:ascii="ＭＳ 明朝" w:hAnsi="ＭＳ 明朝" w:eastAsia="ＭＳ 明朝"/>
                <w:sz w:val="24"/>
              </w:rPr>
              <w:t>治療計画。本人とその家族、医師・看護師・介護従事者が話し合いを通じて、本人の意思を</w:t>
            </w:r>
            <w:r>
              <w:rPr>
                <w:rFonts w:hint="eastAsia" w:ascii="ＭＳ 明朝" w:hAnsi="ＭＳ 明朝" w:eastAsia="ＭＳ 明朝"/>
                <w:color w:val="000000" w:themeColor="text1"/>
                <w:sz w:val="24"/>
              </w:rPr>
              <w:t>反映した医療・ケアの開始・不開始・変更</w:t>
            </w:r>
            <w:r>
              <w:rPr>
                <w:rFonts w:hint="eastAsia" w:ascii="ＭＳ 明朝" w:hAnsi="ＭＳ 明朝" w:eastAsia="ＭＳ 明朝"/>
                <w:sz w:val="24"/>
              </w:rPr>
              <w:t>などを行う。</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インフォーマル</w:t>
            </w:r>
          </w:p>
          <w:p>
            <w:pPr>
              <w:pStyle w:val="0"/>
              <w:rPr>
                <w:rFonts w:hint="default" w:ascii="ＭＳ ゴシック" w:hAnsi="ＭＳ ゴシック" w:eastAsia="ＭＳ ゴシック"/>
              </w:rPr>
            </w:pPr>
            <w:r>
              <w:rPr>
                <w:rFonts w:hint="eastAsia" w:ascii="ＭＳ ゴシック" w:hAnsi="ＭＳ ゴシック" w:eastAsia="ＭＳ ゴシック"/>
                <w:sz w:val="24"/>
              </w:rPr>
              <w:t>サービス</w:t>
            </w:r>
          </w:p>
        </w:tc>
        <w:tc>
          <w:tcPr>
            <w:tcW w:w="7331" w:type="dxa"/>
            <w:vAlign w:val="top"/>
          </w:tcPr>
          <w:p>
            <w:pPr>
              <w:pStyle w:val="0"/>
              <w:rPr>
                <w:rFonts w:hint="default"/>
              </w:rPr>
            </w:pPr>
            <w:r>
              <w:rPr>
                <w:rFonts w:hint="eastAsia" w:ascii="ＭＳ 明朝" w:hAnsi="ＭＳ 明朝" w:eastAsia="ＭＳ 明朝"/>
                <w:sz w:val="24"/>
              </w:rPr>
              <w:t>インフォーマルケアともいい、自治体や専門機関など、フォーマル（正式）な制度に基づき提供される支援ではなく、家族や友人、地域住民、ボランティアなどによる、制度に基づかない非公式な支援のこと。</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ＮＰＯ</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w:t>
            </w:r>
            <w:r>
              <w:rPr>
                <w:rFonts w:hint="default" w:ascii="ＭＳ 明朝" w:hAnsi="ＭＳ 明朝" w:eastAsia="ＭＳ 明朝"/>
                <w:sz w:val="24"/>
              </w:rPr>
              <w:t>Non Profit Organization</w:t>
            </w:r>
            <w:r>
              <w:rPr>
                <w:rFonts w:hint="default" w:ascii="ＭＳ 明朝" w:hAnsi="ＭＳ 明朝" w:eastAsia="ＭＳ 明朝"/>
                <w:sz w:val="24"/>
              </w:rPr>
              <w:t>」の略。様々な社会貢献活動を行い、団体の構成員に対し、収益を分配することを目的としない団体の総称。収益を目的とする事業自体は認められるが、事業で得た収益は、様々な社会貢献活動にあてることになる。このうち、特定非営利活動促進法に基づき法人格を取得した法人を「特定非営利活動法人（</w:t>
            </w:r>
            <w:r>
              <w:rPr>
                <w:rFonts w:hint="eastAsia" w:ascii="ＭＳ 明朝" w:hAnsi="ＭＳ 明朝" w:eastAsia="ＭＳ 明朝"/>
                <w:sz w:val="24"/>
              </w:rPr>
              <w:t>ＮＰＯ</w:t>
            </w:r>
            <w:r>
              <w:rPr>
                <w:rFonts w:hint="default" w:ascii="ＭＳ 明朝" w:hAnsi="ＭＳ 明朝" w:eastAsia="ＭＳ 明朝"/>
                <w:sz w:val="24"/>
              </w:rPr>
              <w:t>法人）」と言う。</w:t>
            </w:r>
            <w:r>
              <w:rPr>
                <w:rFonts w:hint="eastAsia" w:ascii="ＭＳ 明朝" w:hAnsi="ＭＳ 明朝" w:eastAsia="ＭＳ 明朝"/>
                <w:sz w:val="24"/>
              </w:rPr>
              <w:t>ＮＰＯ</w:t>
            </w:r>
            <w:r>
              <w:rPr>
                <w:rFonts w:hint="default" w:ascii="ＭＳ 明朝" w:hAnsi="ＭＳ 明朝" w:eastAsia="ＭＳ 明朝"/>
                <w:sz w:val="24"/>
              </w:rPr>
              <w:t>は法人格の有無を問わず、様々な分野（福祉、教育、文化、まちづくり、環境、国際協力など）で、社会の多様化したニーズに応える重要な役割を果たすことが期待されている。</w:t>
            </w:r>
          </w:p>
        </w:tc>
      </w:tr>
      <w:tr>
        <w:trPr/>
        <w:tc>
          <w:tcPr>
            <w:tcW w:w="2405" w:type="dxa"/>
            <w:shd w:val="clear" w:color="auto" w:themeFill="accent1" w:themeFillTint="33" w:themeFillShade="FF"/>
            <w:vAlign w:val="top"/>
          </w:tcPr>
          <w:p>
            <w:pPr>
              <w:pStyle w:val="0"/>
              <w:rPr>
                <w:rFonts w:hint="default"/>
              </w:rPr>
            </w:pPr>
            <w:r>
              <w:rPr>
                <w:rFonts w:hint="eastAsia" w:ascii="ＭＳ ゴシック" w:hAnsi="ＭＳ ゴシック" w:eastAsia="ＭＳ ゴシック"/>
                <w:sz w:val="24"/>
              </w:rPr>
              <w:t>オーラルフレイル</w:t>
            </w:r>
          </w:p>
        </w:tc>
        <w:tc>
          <w:tcPr>
            <w:tcW w:w="7331" w:type="dxa"/>
            <w:vAlign w:val="top"/>
          </w:tcPr>
          <w:p>
            <w:pPr>
              <w:pStyle w:val="0"/>
              <w:rPr>
                <w:rFonts w:hint="default"/>
              </w:rPr>
            </w:pPr>
            <w:r>
              <w:rPr>
                <w:rFonts w:hint="eastAsia" w:ascii="ＭＳ 明朝" w:hAnsi="ＭＳ 明朝" w:eastAsia="ＭＳ 明朝"/>
                <w:color w:val="000000"/>
                <w:sz w:val="24"/>
              </w:rPr>
              <w:t>口腔の機能低下や食べる機能の障害が連鎖し、心身の機能低下まで及ぶこと。</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【か行】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介護支援専門員</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（ケアマネジャー）</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要介護者または要支援者からの相談に応じ、心身の状況等に応じ適切なサービスを利用できるよう市町村、サービス事業者等との連絡調整等を行う者であって、要介護者等が自立した日常生活を営むのに必要な援助に関する専門的知識及び技術を有するものとして介護支援専門員証の交付を受けた者。</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介護離職</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介護のための離職。高齢の親や家族を介護する必要が生じたことにより、今の仕事を辞めざるをえなくなること。</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急性期</w:t>
            </w:r>
          </w:p>
        </w:tc>
        <w:tc>
          <w:tcPr>
            <w:tcW w:w="7331" w:type="dxa"/>
            <w:vAlign w:val="top"/>
          </w:tcPr>
          <w:p>
            <w:pPr>
              <w:pStyle w:val="0"/>
              <w:rPr>
                <w:rFonts w:hint="default"/>
              </w:rPr>
            </w:pPr>
            <w:r>
              <w:rPr>
                <w:rFonts w:hint="eastAsia" w:ascii="ＭＳ 明朝" w:hAnsi="ＭＳ 明朝" w:eastAsia="ＭＳ 明朝"/>
                <w:sz w:val="24"/>
              </w:rPr>
              <w:t>病気の症状や徴候の発現が急で、発病後の経過が短い時期をいう。一方、症状や徴候は激しくないが、長期間にわたる治療や看護が必要とされる時期を慢性期という。</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p>
    <w:p>
      <w:pPr>
        <w:pStyle w:val="0"/>
        <w:spacing w:before="180" w:beforeLines="50" w:beforeAutospacing="0" w:line="360" w:lineRule="exact"/>
        <w:rPr>
          <w:rFonts w:hint="default" w:ascii="HGS創英角ｺﾞｼｯｸUB" w:hAnsi="HGS創英角ｺﾞｼｯｸUB" w:eastAsia="HGS創英角ｺﾞｼｯｸUB"/>
          <w:sz w:val="28"/>
        </w:rPr>
      </w:pPr>
    </w:p>
    <w:p>
      <w:pPr>
        <w:pStyle w:val="0"/>
        <w:spacing w:before="180" w:beforeLines="50" w:beforeAutospacing="0" w:line="360" w:lineRule="exact"/>
        <w:rPr>
          <w:rFonts w:hint="default" w:ascii="HGS創英角ｺﾞｼｯｸUB" w:hAnsi="HGS創英角ｺﾞｼｯｸUB" w:eastAsia="HGS創英角ｺﾞｼｯｸUB"/>
          <w:sz w:val="28"/>
        </w:rPr>
      </w:pP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軽度認知障害</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（ＭＣＩ）</w:t>
            </w:r>
          </w:p>
        </w:tc>
        <w:tc>
          <w:tcPr>
            <w:tcW w:w="7331" w:type="dxa"/>
            <w:vAlign w:val="top"/>
          </w:tcPr>
          <w:p>
            <w:pPr>
              <w:pStyle w:val="0"/>
              <w:rPr>
                <w:rFonts w:hint="default" w:ascii="ＭＳ 明朝" w:hAnsi="ＭＳ 明朝" w:eastAsia="ＭＳ 明朝"/>
                <w:sz w:val="24"/>
              </w:rPr>
            </w:pPr>
            <w:r>
              <w:rPr>
                <w:rFonts w:hint="default" w:ascii="ＭＳ 明朝" w:hAnsi="ＭＳ 明朝" w:eastAsia="ＭＳ 明朝"/>
                <w:sz w:val="24"/>
              </w:rPr>
              <w:t>物忘れが主たる症状だが、日常生活への影響はほとんどなく、認知症とは診断できない状態のことで、正常と認知症の中間ともいえる状態。記憶力に障害があって物忘れの自覚があるが、記憶力の低下以外に明らかな認知機能の障害がみられず、日常生活への影響はないかあっても軽度のものである場合。</w:t>
            </w:r>
            <w:r>
              <w:rPr>
                <w:rFonts w:hint="eastAsia" w:ascii="ＭＳ 明朝" w:hAnsi="ＭＳ 明朝" w:eastAsia="ＭＳ 明朝"/>
                <w:sz w:val="24"/>
              </w:rPr>
              <w:t>ＭＣＩとは、「</w:t>
            </w:r>
            <w:r>
              <w:rPr>
                <w:rFonts w:hint="default" w:ascii="ＭＳ 明朝" w:hAnsi="ＭＳ 明朝" w:eastAsia="ＭＳ 明朝"/>
                <w:sz w:val="24"/>
              </w:rPr>
              <w:t>Mild Cognitive Impairment</w:t>
            </w:r>
            <w:r>
              <w:rPr>
                <w:rFonts w:hint="default" w:ascii="ＭＳ 明朝" w:hAnsi="ＭＳ 明朝" w:eastAsia="ＭＳ 明朝"/>
                <w:sz w:val="24"/>
              </w:rPr>
              <w:t>」の略。</w:t>
            </w:r>
          </w:p>
        </w:tc>
      </w:tr>
      <w:tr>
        <w:trPr>
          <w:trHeight w:val="1376" w:hRule="atLeast"/>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ケアプラン</w:t>
            </w:r>
          </w:p>
          <w:p>
            <w:pPr>
              <w:pStyle w:val="0"/>
              <w:ind w:right="-257" w:rightChars="-107"/>
              <w:rPr>
                <w:rFonts w:hint="default" w:ascii="ＭＳ ゴシック" w:hAnsi="ＭＳ ゴシック" w:eastAsia="ＭＳ ゴシック"/>
                <w:sz w:val="24"/>
              </w:rPr>
            </w:pPr>
            <w:r>
              <w:rPr>
                <w:rFonts w:hint="eastAsia" w:ascii="ＭＳ ゴシック" w:hAnsi="ＭＳ ゴシック" w:eastAsia="ＭＳ ゴシック"/>
                <w:sz w:val="24"/>
              </w:rPr>
              <w:t>（居宅サービス計画）</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要介護者が日常生活を営むために必要な保健医療サービスまたは福祉サービスの適切な利用ができるよう、要介護者の依頼を受けて、その心身の状況、その置かれている環境、要介護者及びその家族の希望等を勘案し、利用者するサービスの種類及び内容などを定めた計画。</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ケアマネジメント</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主に地域社会の中で継続的なケアを提供する際に、サービス利用者の生活全般にわたるニーズと公私にわたる社会資源との間にあった、複数のサービスを適切に結びつけ、調整を図り、総合的かつ継続的なサービス提供を確保する機能。</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ＫＤＢシステム</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国保データベースシステムのことであり、国保連合会が保険者の委託を受けて行う各種業務を通じて管理する「特定健診・特定保健指導」、「医療（後期高齢者医療含む）」、「介護保険」等の情報を活用し、統計情報や「個人の健康に関する情報」を提供し、保険者の効率的かつ効果的な保健事業の実施をサポートすることを目的として構築されたシステムであ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健康寿命</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健康上の問題で日常生活が制限されることなく生活できる期間。</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権利擁護</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自己の権利を表明することが困難な高齢者や障害者等の代わりに、代理人が権利を表明すること。</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【さ行】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在宅療養後方支援</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病院</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在宅医療を提供している医療機関と連携し、あらかじめ緊急時の入院先とする希望を届け出ていた患者の急変時などに</w:t>
            </w:r>
            <w:r>
              <w:rPr>
                <w:rFonts w:hint="default" w:ascii="ＭＳ 明朝" w:hAnsi="ＭＳ 明朝" w:eastAsia="ＭＳ 明朝"/>
                <w:sz w:val="24"/>
              </w:rPr>
              <w:t>24</w:t>
            </w:r>
            <w:r>
              <w:rPr>
                <w:rFonts w:hint="default" w:ascii="ＭＳ 明朝" w:hAnsi="ＭＳ 明朝" w:eastAsia="ＭＳ 明朝"/>
                <w:sz w:val="24"/>
              </w:rPr>
              <w:t>時間体制で対応し、必要があれば入院を受け入れる病院。</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在宅療養支援</w:t>
            </w:r>
          </w:p>
          <w:p>
            <w:pPr>
              <w:pStyle w:val="0"/>
              <w:rPr>
                <w:rFonts w:hint="default" w:ascii="ＭＳ ゴシック" w:hAnsi="ＭＳ ゴシック" w:eastAsia="ＭＳ ゴシック"/>
              </w:rPr>
            </w:pPr>
            <w:r>
              <w:rPr>
                <w:rFonts w:hint="eastAsia" w:ascii="ＭＳ ゴシック" w:hAnsi="ＭＳ ゴシック" w:eastAsia="ＭＳ ゴシック"/>
                <w:sz w:val="24"/>
              </w:rPr>
              <w:t>診療所・病院</w:t>
            </w:r>
          </w:p>
        </w:tc>
        <w:tc>
          <w:tcPr>
            <w:tcW w:w="7331" w:type="dxa"/>
            <w:vAlign w:val="top"/>
          </w:tcPr>
          <w:p>
            <w:pPr>
              <w:pStyle w:val="0"/>
              <w:rPr>
                <w:rFonts w:hint="default"/>
              </w:rPr>
            </w:pPr>
            <w:r>
              <w:rPr>
                <w:rFonts w:hint="eastAsia" w:ascii="ＭＳ 明朝" w:hAnsi="ＭＳ 明朝" w:eastAsia="ＭＳ 明朝"/>
                <w:sz w:val="24"/>
              </w:rPr>
              <w:t>地域において在宅医療を支える</w:t>
            </w:r>
            <w:r>
              <w:rPr>
                <w:rFonts w:hint="default" w:ascii="ＭＳ 明朝" w:hAnsi="ＭＳ 明朝" w:eastAsia="ＭＳ 明朝"/>
                <w:sz w:val="24"/>
              </w:rPr>
              <w:t>24</w:t>
            </w:r>
            <w:r>
              <w:rPr>
                <w:rFonts w:hint="default" w:ascii="ＭＳ 明朝" w:hAnsi="ＭＳ 明朝" w:eastAsia="ＭＳ 明朝"/>
                <w:sz w:val="24"/>
              </w:rPr>
              <w:t>時間の窓口とし、他の病院、診療所等と連携を図りつつ、</w:t>
            </w:r>
            <w:r>
              <w:rPr>
                <w:rFonts w:hint="default" w:ascii="ＭＳ 明朝" w:hAnsi="ＭＳ 明朝" w:eastAsia="ＭＳ 明朝"/>
                <w:sz w:val="24"/>
              </w:rPr>
              <w:t>24</w:t>
            </w:r>
            <w:r>
              <w:rPr>
                <w:rFonts w:hint="default" w:ascii="ＭＳ 明朝" w:hAnsi="ＭＳ 明朝" w:eastAsia="ＭＳ 明朝"/>
                <w:sz w:val="24"/>
              </w:rPr>
              <w:t>時間往診、訪問看護等を提供する診療所を在宅療養支援診療所という。また、診療所のない地域において、在宅療養支援診療所と同様に、在宅医療の主たる担い手となっている病院を在宅療養支援病院という。</w:t>
            </w:r>
          </w:p>
        </w:tc>
      </w:tr>
    </w:tbl>
    <w:p>
      <w:pPr>
        <w:pStyle w:val="0"/>
        <w:spacing w:before="180" w:beforeLines="50" w:beforeAutospacing="0" w:line="360" w:lineRule="exact"/>
        <w:rPr>
          <w:rFonts w:hint="default" w:ascii="ＭＳ ゴシック" w:hAnsi="ＭＳ ゴシック" w:eastAsia="ＭＳ ゴシック"/>
          <w:sz w:val="21"/>
        </w:rPr>
      </w:pPr>
    </w:p>
    <w:p>
      <w:pPr>
        <w:pStyle w:val="0"/>
        <w:spacing w:before="180" w:beforeLines="50" w:beforeAutospacing="0" w:line="360" w:lineRule="exact"/>
        <w:rPr>
          <w:rFonts w:hint="default" w:ascii="ＭＳ ゴシック" w:hAnsi="ＭＳ ゴシック" w:eastAsia="ＭＳ ゴシック"/>
          <w:sz w:val="21"/>
        </w:rPr>
      </w:pPr>
    </w:p>
    <w:p>
      <w:pPr>
        <w:pStyle w:val="0"/>
        <w:spacing w:before="180" w:beforeLines="50" w:beforeAutospacing="0" w:line="360" w:lineRule="exact"/>
        <w:rPr>
          <w:rFonts w:hint="default" w:ascii="ＭＳ ゴシック" w:hAnsi="ＭＳ ゴシック" w:eastAsia="ＭＳ ゴシック"/>
          <w:sz w:val="21"/>
        </w:rPr>
      </w:pP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サービス付き高齢者向け住宅</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「高齢者住まい法」の改正により創設された、介護・医療と連携し、高齢者の安心を支えるサービスを提供するバリアフリー構造の住宅。</w:t>
            </w:r>
            <w:r>
              <w:rPr>
                <w:rFonts w:hint="default" w:ascii="ＭＳ 明朝" w:hAnsi="ＭＳ 明朝" w:eastAsia="ＭＳ 明朝"/>
                <w:sz w:val="24"/>
              </w:rPr>
              <w:t xml:space="preserve"> </w:t>
            </w:r>
            <w:r>
              <w:rPr>
                <w:rFonts w:hint="default" w:ascii="ＭＳ 明朝" w:hAnsi="ＭＳ 明朝" w:eastAsia="ＭＳ 明朝"/>
                <w:sz w:val="24"/>
              </w:rPr>
              <w:t>住宅としての居室の広さや設備、バリアフリーといったハード面の条件を備えるとともに、ケアの専門家による安否確認や生活相談サービスを提供することなどにより、高齢者が安心して暮らすことができる環境を整えてい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生活困窮者自立支援事業　</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生活困窮者」とは、現に経済的に困窮し、最低限度の生活を維持することができなくなるおそれのある者。生活困窮者自立支援法に基づき、生活保護に至る前の段階の自立支援策の強化を図るため、生活困窮者に対し、自立支援相談事業の実施、住居確保給付金の支給、その他の支援を行う事業。なお、「生活困窮者」とは、現に経済的に困窮し、最低限度の生活を維持することができなくなるおそれのある者。</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【た行】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地域医療構想</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将来人口推計をもとに</w:t>
            </w:r>
            <w:r>
              <w:rPr>
                <w:rFonts w:hint="default" w:ascii="ＭＳ 明朝" w:hAnsi="ＭＳ 明朝" w:eastAsia="ＭＳ 明朝"/>
                <w:sz w:val="24"/>
              </w:rPr>
              <w:t>2025</w:t>
            </w:r>
            <w:r>
              <w:rPr>
                <w:rFonts w:hint="default" w:ascii="ＭＳ 明朝" w:hAnsi="ＭＳ 明朝" w:eastAsia="ＭＳ 明朝"/>
                <w:sz w:val="24"/>
              </w:rPr>
              <w:t>年に必要となる病床数（病床の必要量）を４つの医療機能（高度急性期、急性期、回復期、慢性期）ごとに推計した上で、地域の医療関係者の協議を通じて病床の機能分化と連携を進め、効率的な医療提供体制を実現する取組のこと。</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地域共生社会</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社会構造の変化や人々の暮らしの変化をふまえ、制度・分野ごとの『縦割り』や「支え手」、「受け手」という関係を超えて、地域住民や地域の多様な主体が「他人事」ではなく「我が事」として参画し、人と人、人と資源が世代や分野を超えて「丸ごと」つながることで、子ども、高齢者、障害者など全ての住民一人ひとり</w:t>
            </w:r>
          </w:p>
          <w:p>
            <w:pPr>
              <w:pStyle w:val="0"/>
              <w:ind w:right="-149" w:rightChars="-62"/>
              <w:rPr>
                <w:rFonts w:hint="default" w:ascii="ＭＳ 明朝" w:hAnsi="ＭＳ 明朝" w:eastAsia="ＭＳ 明朝"/>
                <w:sz w:val="24"/>
              </w:rPr>
            </w:pPr>
            <w:r>
              <w:rPr>
                <w:rFonts w:hint="eastAsia" w:ascii="ＭＳ 明朝" w:hAnsi="ＭＳ 明朝" w:eastAsia="ＭＳ 明朝"/>
                <w:sz w:val="24"/>
              </w:rPr>
              <w:t>の暮らしと生きがい、地域をともに創っていく社会をめざすもの。</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地域包括</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ケアシステム　</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高齢者の尊厳の保持と自立生活の支援の目的のもとで、可能な限り住み慣れた地域で、自分らしい暮らしを人生の最期まで続けることができるよう、地域の包括的な支援やサービスを提供する体制。</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地域包括</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支援センター</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地域住民の心身の健康の保持及び生活の安定のために必要な援助を行うことにより、地域住民の保健医療の向上及び福祉の増進を包括的に支援することを目的として、包括的支援事業等を地域において一体的に実施する役割を担う中核的機関として設置されるもの。市町村が設置できることとされてい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地域密着型サービス　</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要介護者の住み慣れた地域での生活を支えるため、身近な市町村で提供されることが適当なサービスであり、地域密着型サービス（要介護のかたへのサービス）と地域密着型介護予防サービス（要支援のかたへのサービス）からな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地域リハビリテーション</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高齢者や障害者が、住み慣れた地域で、安全にいきいきと生活を送ることができるよう、必要なリハビリテーションを適切に提供すること。</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地区防災委員会</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箕面市で地域の避難所の運営を行い、地域の防災の中核としての機能を有し、地域団体等で構成される組織。</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【な行】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日常生活圏域</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市町村介護保険事業計画において、市町村が、その住民が日常生活を営んでいる地域として、地理的条件、人口、交通事情、その他の社会的条件、介護給付等対象サービスを提供するための施設の整備の状況その他の条件を総合的に勘案して定める区域。</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認知症カフェ</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認知症の人やその家族、医療や介護の専門職、地域の人などが、地域の身近な場所で気軽に集い、認知症の人やその家族同士の情報交換、医療や介護の専門職への相談、地域の人との交流など、交流の場。公的な制度に基づくものではないが、市町村や地域包括支援センター、社会福祉協議会、医療機関や介護サービスの事業所、認知症サポーター、ボランティアなど、様々な機関や人たちで認知症カフェを開設する取組が広がってい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認知症ケアパス</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認知症の状態に応じた適切なサービス提供の流れを示したもの。日常生活圏域において、認知症を有する高齢者等がどのような状態にあっても対応できるサービス基盤を構築し、的確なコーディネートがなされる体制をシステム化する地域環境を具体化するツール。</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ノーマライゼーション</w:t>
            </w:r>
          </w:p>
        </w:tc>
        <w:tc>
          <w:tcPr>
            <w:tcW w:w="7331" w:type="dxa"/>
            <w:vAlign w:val="top"/>
          </w:tcPr>
          <w:p>
            <w:pPr>
              <w:pStyle w:val="0"/>
              <w:rPr>
                <w:rFonts w:hint="default" w:ascii="ＭＳ 明朝" w:hAnsi="ＭＳ 明朝" w:eastAsia="ＭＳ 明朝"/>
              </w:rPr>
            </w:pPr>
            <w:r>
              <w:rPr>
                <w:rFonts w:hint="eastAsia" w:ascii="ＭＳ 明朝" w:hAnsi="ＭＳ 明朝" w:eastAsia="ＭＳ 明朝"/>
                <w:sz w:val="24"/>
              </w:rPr>
              <w:t>社会福祉の分野において、障害の有無や性別、年齢の違いなどによって区別をされることなく、主体的に、当たり前に、生活や権利の保障されたバリアフリーな環境を整えていく考えかたを意味する言葉。</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【は行】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廃用症候群</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心身の不使用が招くさまざまな機能低下。身体的には筋や骨の萎縮や関節拘縮、起立性低血圧等の循環器機能の低下等（低運動性症候群ともいう）、精神的には意欲の減衰や記憶力低下等がある。高齢者の病気やけがによる寝たきり状態の放置や社会交流の途絶から連鎖的に生じ、寝たきりの固定化につながることが多いことから、寝たきり症候群とも呼ばれ、できる限りの自立、機能活用を図ることが必要。</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p>
    <w:p>
      <w:pPr>
        <w:pStyle w:val="0"/>
        <w:spacing w:before="180" w:beforeLines="50" w:beforeAutospacing="0" w:line="360" w:lineRule="exact"/>
        <w:rPr>
          <w:rFonts w:hint="default" w:ascii="HGS創英角ｺﾞｼｯｸUB" w:hAnsi="HGS創英角ｺﾞｼｯｸUB" w:eastAsia="HGS創英角ｺﾞｼｯｸUB"/>
          <w:sz w:val="28"/>
        </w:rPr>
      </w:pP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パブリックコメント</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行政機関（国、都道府県、市など）が国民の生活に大きく影響する制度などを定めるときに、最終的な意思決定を行う前にその素案を公表して意見・情報を募集し、寄せられた意見等を考慮して意思決定を行うとともに、提出された意見等に対する行政機関の考えかたをとりまとめ、提出された意見等の概要とあわせて公表する仕組み。</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バリアフリー</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もとは、高齢者や障害者が社会生活をしていくうえで妨げとなる、段差等の物理的な障壁（バリア）をなくすという意味の建築用語。現在では、物理的な障壁に限らず、社会的、制度的、心理的な障壁、情報面の障壁などを含め、障害者等の社会参加の妨げとなる、あらゆる障壁を取り除く意味で用いられ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ＰＤＣＡサイクル</w:t>
            </w:r>
          </w:p>
        </w:tc>
        <w:tc>
          <w:tcPr>
            <w:tcW w:w="7331" w:type="dxa"/>
            <w:vAlign w:val="top"/>
          </w:tcPr>
          <w:p>
            <w:pPr>
              <w:pStyle w:val="0"/>
              <w:rPr>
                <w:rFonts w:hint="default"/>
              </w:rPr>
            </w:pPr>
            <w:r>
              <w:rPr>
                <w:rFonts w:hint="eastAsia" w:ascii="ＭＳ 明朝" w:hAnsi="ＭＳ 明朝" w:eastAsia="ＭＳ 明朝"/>
                <w:sz w:val="24"/>
              </w:rPr>
              <w:t>仕事をどのような過程で回す事が効率よく業務を行えるようになるかという理論のことをいう。第二次世界大戦後にアメリカの物理学者ウォルター・シューハートと物理学者エドワーズ・デミングにより提唱された理論で、</w:t>
            </w:r>
            <w:r>
              <w:rPr>
                <w:rFonts w:hint="default" w:ascii="ＭＳ 明朝" w:hAnsi="ＭＳ 明朝" w:eastAsia="ＭＳ 明朝"/>
                <w:sz w:val="24"/>
              </w:rPr>
              <w:t>Plan(</w:t>
            </w:r>
            <w:r>
              <w:rPr>
                <w:rFonts w:hint="default" w:ascii="ＭＳ 明朝" w:hAnsi="ＭＳ 明朝" w:eastAsia="ＭＳ 明朝"/>
                <w:sz w:val="24"/>
              </w:rPr>
              <w:t>計画</w:t>
            </w:r>
            <w:r>
              <w:rPr>
                <w:rFonts w:hint="default" w:ascii="ＭＳ 明朝" w:hAnsi="ＭＳ 明朝" w:eastAsia="ＭＳ 明朝"/>
                <w:sz w:val="24"/>
              </w:rPr>
              <w:t>)</w:t>
            </w:r>
            <w:r>
              <w:rPr>
                <w:rFonts w:hint="default" w:ascii="ＭＳ 明朝" w:hAnsi="ＭＳ 明朝" w:eastAsia="ＭＳ 明朝"/>
                <w:sz w:val="24"/>
              </w:rPr>
              <w:t>・</w:t>
            </w:r>
            <w:r>
              <w:rPr>
                <w:rFonts w:hint="default" w:ascii="ＭＳ 明朝" w:hAnsi="ＭＳ 明朝" w:eastAsia="ＭＳ 明朝"/>
                <w:sz w:val="24"/>
              </w:rPr>
              <w:t>Do(</w:t>
            </w:r>
            <w:r>
              <w:rPr>
                <w:rFonts w:hint="default" w:ascii="ＭＳ 明朝" w:hAnsi="ＭＳ 明朝" w:eastAsia="ＭＳ 明朝"/>
                <w:sz w:val="24"/>
              </w:rPr>
              <w:t>実行</w:t>
            </w:r>
            <w:r>
              <w:rPr>
                <w:rFonts w:hint="default" w:ascii="ＭＳ 明朝" w:hAnsi="ＭＳ 明朝" w:eastAsia="ＭＳ 明朝"/>
                <w:sz w:val="24"/>
              </w:rPr>
              <w:t>)</w:t>
            </w:r>
            <w:r>
              <w:rPr>
                <w:rFonts w:hint="default" w:ascii="ＭＳ 明朝" w:hAnsi="ＭＳ 明朝" w:eastAsia="ＭＳ 明朝"/>
                <w:sz w:val="24"/>
              </w:rPr>
              <w:t>・</w:t>
            </w:r>
            <w:r>
              <w:rPr>
                <w:rFonts w:hint="default" w:ascii="ＭＳ 明朝" w:hAnsi="ＭＳ 明朝" w:eastAsia="ＭＳ 明朝"/>
                <w:sz w:val="24"/>
              </w:rPr>
              <w:t>Check(</w:t>
            </w:r>
            <w:r>
              <w:rPr>
                <w:rFonts w:hint="default" w:ascii="ＭＳ 明朝" w:hAnsi="ＭＳ 明朝" w:eastAsia="ＭＳ 明朝"/>
                <w:sz w:val="24"/>
              </w:rPr>
              <w:t>点検・評価</w:t>
            </w:r>
            <w:r>
              <w:rPr>
                <w:rFonts w:hint="default" w:ascii="ＭＳ 明朝" w:hAnsi="ＭＳ 明朝" w:eastAsia="ＭＳ 明朝"/>
                <w:sz w:val="24"/>
              </w:rPr>
              <w:t>)</w:t>
            </w:r>
            <w:r>
              <w:rPr>
                <w:rFonts w:hint="default" w:ascii="ＭＳ 明朝" w:hAnsi="ＭＳ 明朝" w:eastAsia="ＭＳ 明朝"/>
                <w:sz w:val="24"/>
              </w:rPr>
              <w:t>・</w:t>
            </w:r>
            <w:r>
              <w:rPr>
                <w:rFonts w:hint="default" w:ascii="ＭＳ 明朝" w:hAnsi="ＭＳ 明朝" w:eastAsia="ＭＳ 明朝"/>
                <w:sz w:val="24"/>
              </w:rPr>
              <w:t>Act(</w:t>
            </w:r>
            <w:r>
              <w:rPr>
                <w:rFonts w:hint="default" w:ascii="ＭＳ 明朝" w:hAnsi="ＭＳ 明朝" w:eastAsia="ＭＳ 明朝"/>
                <w:sz w:val="24"/>
              </w:rPr>
              <w:t>改善・処置</w:t>
            </w:r>
            <w:r>
              <w:rPr>
                <w:rFonts w:hint="default" w:ascii="ＭＳ 明朝" w:hAnsi="ＭＳ 明朝" w:eastAsia="ＭＳ 明朝"/>
                <w:sz w:val="24"/>
              </w:rPr>
              <w:t>)</w:t>
            </w:r>
            <w:r>
              <w:rPr>
                <w:rFonts w:hint="default" w:ascii="ＭＳ 明朝" w:hAnsi="ＭＳ 明朝" w:eastAsia="ＭＳ 明朝"/>
                <w:sz w:val="24"/>
              </w:rPr>
              <w:t>の頭文字を取って</w:t>
            </w:r>
            <w:r>
              <w:rPr>
                <w:rFonts w:hint="eastAsia" w:ascii="ＭＳ 明朝" w:hAnsi="ＭＳ 明朝" w:eastAsia="ＭＳ 明朝"/>
                <w:sz w:val="24"/>
              </w:rPr>
              <w:t>ＰＤＣＡ</w:t>
            </w:r>
            <w:r>
              <w:rPr>
                <w:rFonts w:hint="default" w:ascii="ＭＳ 明朝" w:hAnsi="ＭＳ 明朝" w:eastAsia="ＭＳ 明朝"/>
                <w:sz w:val="24"/>
              </w:rPr>
              <w:t>サイクルと命名された。</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ヒヤリハット</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危険な目に遭いそうになって、ひやりとしたり、はっとしたりすること。重大な事故に発展したかもしれない危険な出来事。</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rPr>
            </w:pPr>
            <w:r>
              <w:rPr>
                <w:rFonts w:hint="eastAsia" w:ascii="ＭＳ ゴシック" w:hAnsi="ＭＳ ゴシック" w:eastAsia="ＭＳ ゴシック"/>
                <w:sz w:val="24"/>
              </w:rPr>
              <w:t>福祉有償運送</w:t>
            </w:r>
          </w:p>
        </w:tc>
        <w:tc>
          <w:tcPr>
            <w:tcW w:w="7331" w:type="dxa"/>
            <w:vAlign w:val="top"/>
          </w:tcPr>
          <w:p>
            <w:pPr>
              <w:pStyle w:val="0"/>
              <w:rPr>
                <w:rFonts w:hint="default" w:ascii="ＭＳ 明朝" w:hAnsi="ＭＳ 明朝" w:eastAsia="ＭＳ 明朝"/>
              </w:rPr>
            </w:pPr>
            <w:r>
              <w:rPr>
                <w:rFonts w:hint="eastAsia" w:ascii="ＭＳ 明朝" w:hAnsi="ＭＳ 明朝" w:eastAsia="ＭＳ 明朝"/>
                <w:sz w:val="24"/>
              </w:rPr>
              <w:t>ＮＰＯや社会福祉法人などの非営利法人等が、高齢者や障がい者などの公共交通機関を使用して移動することが困難な人を対象に、通院、通所、レジャーなどを目的に有償で行う車による移送サービスのこと。高齢化の進展、障がい者の社会参加の定着、介護保険や支援費制度の導入等を契機としてニーズが一層拡大し、実施する団体も増加している。このような福祉有償運送を行うには、道路運送法による「登録」が必要で、道路運送法第</w:t>
            </w:r>
            <w:r>
              <w:rPr>
                <w:rFonts w:hint="default" w:ascii="ＭＳ 明朝" w:hAnsi="ＭＳ 明朝" w:eastAsia="ＭＳ 明朝"/>
                <w:sz w:val="24"/>
              </w:rPr>
              <w:t>80</w:t>
            </w:r>
            <w:r>
              <w:rPr>
                <w:rFonts w:hint="default" w:ascii="ＭＳ 明朝" w:hAnsi="ＭＳ 明朝" w:eastAsia="ＭＳ 明朝"/>
                <w:sz w:val="24"/>
              </w:rPr>
              <w:t>条の例外許可として通達（ガイドライン）に基づいて運用されていたが、平成</w:t>
            </w:r>
            <w:r>
              <w:rPr>
                <w:rFonts w:hint="default" w:ascii="ＭＳ 明朝" w:hAnsi="ＭＳ 明朝" w:eastAsia="ＭＳ 明朝"/>
                <w:sz w:val="24"/>
              </w:rPr>
              <w:t>18</w:t>
            </w:r>
            <w:r>
              <w:rPr>
                <w:rFonts w:hint="default" w:ascii="ＭＳ 明朝" w:hAnsi="ＭＳ 明朝" w:eastAsia="ＭＳ 明朝"/>
                <w:sz w:val="24"/>
              </w:rPr>
              <w:t>年（</w:t>
            </w:r>
            <w:r>
              <w:rPr>
                <w:rFonts w:hint="default" w:ascii="ＭＳ 明朝" w:hAnsi="ＭＳ 明朝" w:eastAsia="ＭＳ 明朝"/>
                <w:sz w:val="24"/>
              </w:rPr>
              <w:t>2006</w:t>
            </w:r>
            <w:r>
              <w:rPr>
                <w:rFonts w:hint="default" w:ascii="ＭＳ 明朝" w:hAnsi="ＭＳ 明朝" w:eastAsia="ＭＳ 明朝"/>
                <w:sz w:val="24"/>
              </w:rPr>
              <w:t>年）</w:t>
            </w:r>
            <w:r>
              <w:rPr>
                <w:rFonts w:hint="default" w:ascii="ＭＳ 明朝" w:hAnsi="ＭＳ 明朝" w:eastAsia="ＭＳ 明朝"/>
                <w:sz w:val="24"/>
              </w:rPr>
              <w:t>10</w:t>
            </w:r>
            <w:r>
              <w:rPr>
                <w:rFonts w:hint="default" w:ascii="ＭＳ 明朝" w:hAnsi="ＭＳ 明朝" w:eastAsia="ＭＳ 明朝"/>
                <w:sz w:val="24"/>
              </w:rPr>
              <w:t>月１日に道路運送法</w:t>
            </w:r>
            <w:r>
              <w:rPr>
                <w:rFonts w:hint="eastAsia" w:ascii="ＭＳ 明朝" w:hAnsi="ＭＳ 明朝" w:eastAsia="ＭＳ 明朝"/>
                <w:sz w:val="24"/>
              </w:rPr>
              <w:t>が改正され、法第</w:t>
            </w:r>
            <w:r>
              <w:rPr>
                <w:rFonts w:hint="default" w:ascii="ＭＳ 明朝" w:hAnsi="ＭＳ 明朝" w:eastAsia="ＭＳ 明朝"/>
                <w:sz w:val="24"/>
              </w:rPr>
              <w:t>78</w:t>
            </w:r>
            <w:r>
              <w:rPr>
                <w:rFonts w:hint="default" w:ascii="ＭＳ 明朝" w:hAnsi="ＭＳ 明朝" w:eastAsia="ＭＳ 明朝"/>
                <w:sz w:val="24"/>
              </w:rPr>
              <w:t>条第２項に規定する「自家用有償運送」の一類型として法律に基づく制度となった。</w:t>
            </w:r>
          </w:p>
        </w:tc>
      </w:tr>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フレイル</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日本老年医学会が</w:t>
            </w:r>
            <w:r>
              <w:rPr>
                <w:rFonts w:hint="default" w:ascii="ＭＳ 明朝" w:hAnsi="ＭＳ 明朝" w:eastAsia="ＭＳ 明朝"/>
                <w:sz w:val="24"/>
              </w:rPr>
              <w:t>2014</w:t>
            </w:r>
            <w:r>
              <w:rPr>
                <w:rFonts w:hint="default" w:ascii="ＭＳ 明朝" w:hAnsi="ＭＳ 明朝" w:eastAsia="ＭＳ 明朝"/>
                <w:sz w:val="24"/>
              </w:rPr>
              <w:t>年に提唱した概念で、「</w:t>
            </w:r>
            <w:r>
              <w:rPr>
                <w:rFonts w:hint="default" w:ascii="ＭＳ 明朝" w:hAnsi="ＭＳ 明朝" w:eastAsia="ＭＳ 明朝"/>
                <w:sz w:val="24"/>
              </w:rPr>
              <w:t>Frailty</w:t>
            </w:r>
            <w:r>
              <w:rPr>
                <w:rFonts w:hint="default" w:ascii="ＭＳ 明朝" w:hAnsi="ＭＳ 明朝" w:eastAsia="ＭＳ 明朝"/>
                <w:sz w:val="24"/>
              </w:rPr>
              <w:t>（虚弱）」の日本語訳。健康な状態と要介護状態の中間に位置し、身体的機能や認知機能の低下が見られる状態のことを指すが、適切な治療や予防を行うことで要介護状態に進まずにすむ可能性がある。</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【ま行】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慢性期病床</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一般病院における長期入院患者の増加に対応し、主として長期にわたり療養を必要とする患者を入院させるための療養環境を有する病床。</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【や行】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ユニバーサル</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デザイン</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高齢者や障害者等を取り巻く、様々な障壁をなくしていくというバリアフリーの考えた方から更に一歩進めて、まちづくりや商品デザインに関して、誰もが利用しやすい仕様を、あらかじめ取り入れておこうとする考えかた。</w:t>
            </w:r>
          </w:p>
        </w:tc>
      </w:tr>
    </w:tbl>
    <w:p>
      <w:pPr>
        <w:pStyle w:val="0"/>
        <w:spacing w:before="180" w:beforeLines="50" w:beforeAutospacing="0" w:line="360" w:lineRule="exact"/>
        <w:rPr>
          <w:rFonts w:hint="default" w:ascii="HGS創英角ｺﾞｼｯｸUB" w:hAnsi="HGS創英角ｺﾞｼｯｸUB" w:eastAsia="HGS創英角ｺﾞｼｯｸUB"/>
          <w:sz w:val="28"/>
        </w:rPr>
      </w:pPr>
      <w:r>
        <w:rPr>
          <w:rFonts w:hint="eastAsia" w:ascii="HGS創英角ｺﾞｼｯｸUB" w:hAnsi="HGS創英角ｺﾞｼｯｸUB" w:eastAsia="HGS創英角ｺﾞｼｯｸUB"/>
          <w:sz w:val="28"/>
        </w:rPr>
        <w:t>【ら行】</w:t>
      </w:r>
    </w:p>
    <w:tbl>
      <w:tblPr>
        <w:tblStyle w:val="59"/>
        <w:tblW w:w="9736" w:type="dxa"/>
        <w:tblInd w:w="0" w:type="dxa"/>
        <w:tblLayout w:type="fixed"/>
        <w:tblLook w:firstRow="1" w:lastRow="0" w:firstColumn="1" w:lastColumn="0" w:noHBand="0" w:noVBand="1" w:val="04A0"/>
      </w:tblPr>
      <w:tblGrid>
        <w:gridCol w:w="2405"/>
        <w:gridCol w:w="7331"/>
      </w:tblGrid>
      <w:tr>
        <w:trPr/>
        <w:tc>
          <w:tcPr>
            <w:tcW w:w="2405"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療養病床</w:t>
            </w:r>
          </w:p>
        </w:tc>
        <w:tc>
          <w:tcPr>
            <w:tcW w:w="7331" w:type="dxa"/>
            <w:vAlign w:val="top"/>
          </w:tcPr>
          <w:p>
            <w:pPr>
              <w:pStyle w:val="0"/>
              <w:rPr>
                <w:rFonts w:hint="default" w:ascii="ＭＳ 明朝" w:hAnsi="ＭＳ 明朝" w:eastAsia="ＭＳ 明朝"/>
                <w:sz w:val="24"/>
              </w:rPr>
            </w:pPr>
            <w:r>
              <w:rPr>
                <w:rFonts w:hint="eastAsia" w:ascii="ＭＳ 明朝" w:hAnsi="ＭＳ 明朝" w:eastAsia="ＭＳ 明朝"/>
                <w:sz w:val="24"/>
              </w:rPr>
              <w:t>病院または診療所の病床のうち、精神病床、感染症病床、結核病床以外のものであって、主として長期にわたり療養を必要とする患者を入院させるためのものをいう。療養病床には、医療療養病床と介護療養病床がある。</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3"/>
        <w:ind w:left="0" w:leftChars="0"/>
        <w:rPr>
          <w:rFonts w:hint="default" w:ascii="メイリオ" w:hAnsi="メイリオ" w:eastAsia="メイリオ"/>
          <w:b w:val="1"/>
          <w:sz w:val="32"/>
          <w:u w:val="single" w:color="auto"/>
        </w:rPr>
        <w:sectPr>
          <w:pgSz w:w="11906" w:h="16838"/>
          <w:pgMar w:top="1440" w:right="1080" w:bottom="1440" w:left="1080" w:header="851" w:footer="454" w:gutter="0"/>
          <w:cols w:space="720"/>
          <w:textDirection w:val="lrTb"/>
          <w:docGrid w:type="lines" w:linePitch="360"/>
        </w:sectPr>
      </w:pPr>
      <w:bookmarkStart w:id="249" w:name="_Toc512263439"/>
      <w:bookmarkStart w:id="250" w:name="_Toc512263440"/>
    </w:p>
    <w:p>
      <w:pPr>
        <w:pStyle w:val="3"/>
        <w:ind w:left="0" w:leftChars="0"/>
        <w:rPr>
          <w:rFonts w:hint="default" w:ascii="メイリオ" w:hAnsi="メイリオ" w:eastAsia="メイリオ"/>
          <w:b w:val="1"/>
          <w:sz w:val="28"/>
          <w:u w:val="single" w:color="auto"/>
        </w:rPr>
      </w:pPr>
      <w:bookmarkStart w:id="251" w:name="_Toc59007905"/>
      <w:r>
        <w:rPr>
          <w:rFonts w:hint="eastAsia" w:ascii="メイリオ" w:hAnsi="メイリオ" w:eastAsia="メイリオ"/>
          <w:b w:val="1"/>
          <w:sz w:val="32"/>
          <w:u w:val="single" w:color="auto"/>
        </w:rPr>
        <w:t>７．介護保険サービスの内容</w:t>
      </w:r>
      <w:bookmarkEnd w:id="249"/>
      <w:bookmarkEnd w:id="250"/>
      <w:bookmarkEnd w:id="251"/>
      <w:r>
        <w:rPr>
          <w:rFonts w:hint="eastAsia" w:ascii="メイリオ" w:hAnsi="メイリオ" w:eastAsia="メイリオ"/>
          <w:b w:val="1"/>
          <w:sz w:val="32"/>
          <w:u w:val="single" w:color="auto"/>
        </w:rPr>
        <w:t>　　　　　　　　　　　　　　　　　　　　　　　</w:t>
      </w:r>
    </w:p>
    <w:p>
      <w:pPr>
        <w:pStyle w:val="0"/>
        <w:rPr>
          <w:rFonts w:hint="default" w:ascii="ＭＳ ゴシック" w:hAnsi="ＭＳ ゴシック" w:eastAsia="ＭＳ ゴシック"/>
        </w:rPr>
      </w:pPr>
      <w:bookmarkStart w:id="252" w:name="_Hlk55229770"/>
      <w:r>
        <w:rPr>
          <w:rFonts w:hint="eastAsia" w:ascii="ＭＳ ゴシック" w:hAnsi="ＭＳ ゴシック" w:eastAsia="ＭＳ ゴシック"/>
        </w:rPr>
        <w:t>【居宅サー</w:t>
      </w:r>
      <w:bookmarkStart w:id="253" w:name="_Toc414281340"/>
      <w:bookmarkEnd w:id="253"/>
      <w:bookmarkStart w:id="254" w:name="_Toc414281341"/>
      <w:bookmarkEnd w:id="254"/>
      <w:bookmarkStart w:id="255" w:name="_Toc414281342"/>
      <w:bookmarkEnd w:id="255"/>
      <w:bookmarkStart w:id="256" w:name="_Toc414281344"/>
      <w:bookmarkEnd w:id="256"/>
      <w:bookmarkStart w:id="257" w:name="_Toc414281345"/>
      <w:bookmarkEnd w:id="257"/>
      <w:bookmarkStart w:id="258" w:name="_Toc414281346"/>
      <w:bookmarkEnd w:id="258"/>
      <w:bookmarkStart w:id="259" w:name="_Toc417551085"/>
      <w:bookmarkEnd w:id="259"/>
      <w:bookmarkStart w:id="260" w:name="_Toc417551086"/>
      <w:bookmarkEnd w:id="260"/>
      <w:bookmarkStart w:id="261" w:name="_Toc417551087"/>
      <w:bookmarkEnd w:id="261"/>
      <w:bookmarkStart w:id="262" w:name="_Toc417551089"/>
      <w:bookmarkEnd w:id="262"/>
      <w:bookmarkStart w:id="263" w:name="_Toc417551090"/>
      <w:bookmarkEnd w:id="263"/>
      <w:r>
        <w:rPr>
          <w:rFonts w:hint="eastAsia" w:ascii="ＭＳ ゴシック" w:hAnsi="ＭＳ ゴシック" w:eastAsia="ＭＳ ゴシック"/>
        </w:rPr>
        <w:t>ビス】</w:t>
      </w:r>
    </w:p>
    <w:tbl>
      <w:tblPr>
        <w:tblStyle w:val="59"/>
        <w:tblpPr w:leftFromText="0" w:rightFromText="0" w:topFromText="0" w:bottomFromText="0" w:vertAnchor="text" w:horzAnchor="margin" w:tblpX="161" w:tblpY="114"/>
        <w:tblW w:w="9704" w:type="dxa"/>
        <w:tblLayout w:type="fixed"/>
        <w:tblLook w:firstRow="1" w:lastRow="1" w:firstColumn="1" w:lastColumn="1" w:noHBand="0" w:noVBand="0" w:val="01E0"/>
      </w:tblPr>
      <w:tblGrid>
        <w:gridCol w:w="3516"/>
        <w:gridCol w:w="6188"/>
      </w:tblGrid>
      <w:tr>
        <w:trPr>
          <w:trHeight w:val="342" w:hRule="atLeast"/>
          <w:tblHeader/>
        </w:trPr>
        <w:tc>
          <w:tcPr>
            <w:tcW w:w="3516" w:type="dxa"/>
            <w:shd w:val="clear" w:color="auto" w:themeFill="accent1" w:themeFillTint="33" w:themeFillShade="FF"/>
            <w:vAlign w:val="top"/>
          </w:tcPr>
          <w:p>
            <w:pPr>
              <w:pStyle w:val="0"/>
              <w:jc w:val="center"/>
              <w:rPr>
                <w:rFonts w:hint="default" w:ascii="ＭＳ ゴシック" w:hAnsi="ＭＳ ゴシック" w:eastAsia="ＭＳ ゴシック"/>
                <w:sz w:val="24"/>
              </w:rPr>
            </w:pPr>
            <w:bookmarkEnd w:id="252"/>
            <w:r>
              <w:rPr>
                <w:rFonts w:hint="eastAsia" w:ascii="ＭＳ ゴシック" w:hAnsi="ＭＳ ゴシック" w:eastAsia="ＭＳ ゴシック"/>
                <w:sz w:val="24"/>
              </w:rPr>
              <w:t>サービス名</w:t>
            </w:r>
          </w:p>
        </w:tc>
        <w:tc>
          <w:tcPr>
            <w:tcW w:w="6188"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概要</w:t>
            </w:r>
          </w:p>
        </w:tc>
      </w:tr>
      <w:tr>
        <w:trPr>
          <w:trHeight w:val="70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訪問介護</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（ホームヘルプ）</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訪問介護員（ホームヘルパー）が自宅等を訪問し、入浴、排泄、食事などの介護や調理、洗濯、掃除等の家事を行うサービスです。</w:t>
            </w:r>
          </w:p>
        </w:tc>
      </w:tr>
      <w:tr>
        <w:trPr>
          <w:trHeight w:val="69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訪問入浴介護</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入浴が困難なかたの自宅等を訪問し、簡易の浴槽等を使ってベッドサイドで入浴の介助を行います。また、看護師による体温や血圧、脈拍などの健康チェックも行います。</w:t>
            </w:r>
          </w:p>
        </w:tc>
      </w:tr>
      <w:tr>
        <w:trPr>
          <w:trHeight w:val="68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訪問看護</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自宅で療養生活が送れるよう、看護師等が清潔ケアや排泄ケアなどの日常生活の援助や、医師の指示のもと必要な医療の提供を行うサービスです。</w:t>
            </w:r>
          </w:p>
        </w:tc>
      </w:tr>
      <w:tr>
        <w:trPr>
          <w:trHeight w:val="103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訪問リハビリテーション</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理学療法士や作業療法士などが自宅等を訪問し、心身の機能の維持回復をはかり、日常生活の自立を助けるためのリハビリテーション（機能訓練等）を行います。</w:t>
            </w:r>
          </w:p>
        </w:tc>
      </w:tr>
      <w:tr>
        <w:trPr>
          <w:trHeight w:val="66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居宅療養管理指導</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医師、歯科医師、管理栄養士、薬剤師などが自宅等を訪問して、居宅での療養上の必要な管理や指導を行います。また、居宅介護支援事業所やその他のサービス事業所に対して、サービス利用上の必要な情報提供を行います。</w:t>
            </w:r>
          </w:p>
        </w:tc>
      </w:tr>
      <w:tr>
        <w:trPr>
          <w:trHeight w:val="65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通所介護</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（デイサービス）</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デイサービスセンター（通所介護施設）で食事や入浴などの支援や、心身の機能を維持・向上するための機能訓練、口腔機能向上サービスなどの提供を行うサービスです。</w:t>
            </w:r>
          </w:p>
        </w:tc>
      </w:tr>
      <w:tr>
        <w:trPr>
          <w:trHeight w:val="100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vertAlign w:val="superscript"/>
              </w:rPr>
            </w:pPr>
            <w:r>
              <w:rPr>
                <w:rFonts w:hint="eastAsia" w:ascii="ＭＳ ゴシック" w:hAnsi="ＭＳ ゴシック" w:eastAsia="ＭＳ ゴシック"/>
                <w:sz w:val="24"/>
              </w:rPr>
              <w:t>通所リハビリテーション</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（デイケア）</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介護老人保健施設や医療機関などにおいて、日常生活の自立を助けるために理学療法士、作業療法士、言語聴覚士などがリハビリテーションを行い、利用者の心身機能の維持回復を図るサービスです。</w:t>
            </w:r>
          </w:p>
        </w:tc>
      </w:tr>
      <w:tr>
        <w:trPr>
          <w:trHeight w:val="99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短期入所生活介護</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（ショートステイ）</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特別養護老人ホームなどの施設で短期間入所し、食事や入浴、排泄、機能訓練の支援などを行うサービスです。</w:t>
            </w:r>
            <w:r>
              <w:rPr>
                <w:rFonts w:hint="default" w:ascii="ＭＳ 明朝" w:hAnsi="ＭＳ 明朝" w:eastAsia="ＭＳ 明朝"/>
                <w:sz w:val="24"/>
              </w:rPr>
              <w:t xml:space="preserve"> </w:t>
            </w:r>
          </w:p>
        </w:tc>
      </w:tr>
      <w:tr>
        <w:trPr>
          <w:trHeight w:val="980"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短期入所療養介護</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（ショートステイ）</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介護老人保健施設や介護医療院などの施設で短期間入所し、医学的管理下で、食事や入浴、排泄、機能訓練の支援などを行うサービスです。</w:t>
            </w:r>
            <w:r>
              <w:rPr>
                <w:rFonts w:hint="default" w:ascii="ＭＳ 明朝" w:hAnsi="ＭＳ 明朝" w:eastAsia="ＭＳ 明朝"/>
                <w:sz w:val="24"/>
              </w:rPr>
              <w:t xml:space="preserve"> </w:t>
            </w:r>
          </w:p>
        </w:tc>
      </w:tr>
    </w:tbl>
    <w:p>
      <w:pPr>
        <w:pStyle w:val="0"/>
        <w:rPr>
          <w:rFonts w:hint="default"/>
        </w:rPr>
      </w:pPr>
      <w:r>
        <w:rPr>
          <w:rFonts w:hint="eastAsia"/>
        </w:rPr>
        <w:br w:type="page"/>
      </w:r>
    </w:p>
    <w:tbl>
      <w:tblPr>
        <w:tblStyle w:val="59"/>
        <w:tblpPr w:leftFromText="0" w:rightFromText="0" w:topFromText="0" w:bottomFromText="0" w:vertAnchor="text" w:horzAnchor="margin" w:tblpX="161" w:tblpY="114"/>
        <w:tblW w:w="9704" w:type="dxa"/>
        <w:tblLayout w:type="fixed"/>
        <w:tblLook w:firstRow="1" w:lastRow="1" w:firstColumn="1" w:lastColumn="1" w:noHBand="0" w:noVBand="0" w:val="01E0"/>
      </w:tblPr>
      <w:tblGrid>
        <w:gridCol w:w="3516"/>
        <w:gridCol w:w="6188"/>
      </w:tblGrid>
      <w:tr>
        <w:trPr>
          <w:trHeight w:val="360" w:hRule="atLeast"/>
        </w:trPr>
        <w:tc>
          <w:tcPr>
            <w:tcW w:w="3516"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サービス名</w:t>
            </w:r>
          </w:p>
        </w:tc>
        <w:tc>
          <w:tcPr>
            <w:tcW w:w="6188"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概要</w:t>
            </w:r>
          </w:p>
        </w:tc>
      </w:tr>
      <w:tr>
        <w:trPr>
          <w:trHeight w:val="1046"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特定施設入居者生活介護</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介護サービスを提供する事業所として指定を受けている有料老人ホーム等に入居しているかたに対して、食事、入浴、排泄などの支援を行うサービスです。</w:t>
            </w:r>
          </w:p>
        </w:tc>
      </w:tr>
      <w:tr>
        <w:trPr>
          <w:trHeight w:val="676" w:hRule="atLeast"/>
        </w:trPr>
        <w:tc>
          <w:tcPr>
            <w:tcW w:w="3516"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福祉用具の貸与（レンタル）</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利用者の心身の状況、希望及びその環境をふまえたうえで、適切な福祉用具を選定するための援助、その取付けや調整などを行い、</w:t>
            </w:r>
            <w:r>
              <w:rPr>
                <w:rFonts w:hint="default" w:ascii="ＭＳ 明朝" w:hAnsi="ＭＳ 明朝" w:eastAsia="ＭＳ 明朝"/>
                <w:sz w:val="24"/>
              </w:rPr>
              <w:t>(</w:t>
            </w:r>
            <w:r>
              <w:rPr>
                <w:rFonts w:hint="eastAsia" w:ascii="ＭＳ 明朝" w:hAnsi="ＭＳ 明朝" w:eastAsia="ＭＳ 明朝"/>
                <w:sz w:val="24"/>
              </w:rPr>
              <w:t>１</w:t>
            </w:r>
            <w:r>
              <w:rPr>
                <w:rFonts w:hint="default" w:ascii="ＭＳ 明朝" w:hAnsi="ＭＳ 明朝" w:eastAsia="ＭＳ 明朝"/>
                <w:sz w:val="24"/>
              </w:rPr>
              <w:t xml:space="preserve">) </w:t>
            </w:r>
            <w:r>
              <w:rPr>
                <w:rFonts w:hint="default" w:ascii="ＭＳ 明朝" w:hAnsi="ＭＳ 明朝" w:eastAsia="ＭＳ 明朝"/>
                <w:sz w:val="24"/>
              </w:rPr>
              <w:t>車いす、</w:t>
            </w:r>
            <w:r>
              <w:rPr>
                <w:rFonts w:hint="default" w:ascii="ＭＳ 明朝" w:hAnsi="ＭＳ 明朝" w:eastAsia="ＭＳ 明朝"/>
                <w:sz w:val="24"/>
              </w:rPr>
              <w:t>(</w:t>
            </w:r>
            <w:r>
              <w:rPr>
                <w:rFonts w:hint="eastAsia" w:ascii="ＭＳ 明朝" w:hAnsi="ＭＳ 明朝" w:eastAsia="ＭＳ 明朝"/>
                <w:sz w:val="24"/>
              </w:rPr>
              <w:t>２</w:t>
            </w:r>
            <w:r>
              <w:rPr>
                <w:rFonts w:hint="default" w:ascii="ＭＳ 明朝" w:hAnsi="ＭＳ 明朝" w:eastAsia="ＭＳ 明朝"/>
                <w:sz w:val="24"/>
              </w:rPr>
              <w:t xml:space="preserve">) </w:t>
            </w:r>
            <w:r>
              <w:rPr>
                <w:rFonts w:hint="default" w:ascii="ＭＳ 明朝" w:hAnsi="ＭＳ 明朝" w:eastAsia="ＭＳ 明朝"/>
                <w:sz w:val="24"/>
              </w:rPr>
              <w:t>車いす付属品、</w:t>
            </w:r>
            <w:r>
              <w:rPr>
                <w:rFonts w:hint="default" w:ascii="ＭＳ 明朝" w:hAnsi="ＭＳ 明朝" w:eastAsia="ＭＳ 明朝"/>
                <w:sz w:val="24"/>
              </w:rPr>
              <w:t>(</w:t>
            </w:r>
            <w:r>
              <w:rPr>
                <w:rFonts w:hint="eastAsia" w:ascii="ＭＳ 明朝" w:hAnsi="ＭＳ 明朝" w:eastAsia="ＭＳ 明朝"/>
                <w:sz w:val="24"/>
              </w:rPr>
              <w:t>３</w:t>
            </w:r>
            <w:r>
              <w:rPr>
                <w:rFonts w:hint="default" w:ascii="ＭＳ 明朝" w:hAnsi="ＭＳ 明朝" w:eastAsia="ＭＳ 明朝"/>
                <w:sz w:val="24"/>
              </w:rPr>
              <w:t xml:space="preserve">) </w:t>
            </w:r>
            <w:r>
              <w:rPr>
                <w:rFonts w:hint="default" w:ascii="ＭＳ 明朝" w:hAnsi="ＭＳ 明朝" w:eastAsia="ＭＳ 明朝"/>
                <w:sz w:val="24"/>
              </w:rPr>
              <w:t>特殊寝台、</w:t>
            </w:r>
            <w:r>
              <w:rPr>
                <w:rFonts w:hint="default" w:ascii="ＭＳ 明朝" w:hAnsi="ＭＳ 明朝" w:eastAsia="ＭＳ 明朝"/>
                <w:sz w:val="24"/>
              </w:rPr>
              <w:t>(</w:t>
            </w:r>
            <w:r>
              <w:rPr>
                <w:rFonts w:hint="eastAsia" w:ascii="ＭＳ 明朝" w:hAnsi="ＭＳ 明朝" w:eastAsia="ＭＳ 明朝"/>
                <w:sz w:val="24"/>
              </w:rPr>
              <w:t>４</w:t>
            </w:r>
            <w:r>
              <w:rPr>
                <w:rFonts w:hint="default" w:ascii="ＭＳ 明朝" w:hAnsi="ＭＳ 明朝" w:eastAsia="ＭＳ 明朝"/>
                <w:sz w:val="24"/>
              </w:rPr>
              <w:t xml:space="preserve">) </w:t>
            </w:r>
            <w:r>
              <w:rPr>
                <w:rFonts w:hint="default" w:ascii="ＭＳ 明朝" w:hAnsi="ＭＳ 明朝" w:eastAsia="ＭＳ 明朝"/>
                <w:sz w:val="24"/>
              </w:rPr>
              <w:t>特殊寝台付属品、</w:t>
            </w:r>
            <w:r>
              <w:rPr>
                <w:rFonts w:hint="default" w:ascii="ＭＳ 明朝" w:hAnsi="ＭＳ 明朝" w:eastAsia="ＭＳ 明朝"/>
                <w:sz w:val="24"/>
              </w:rPr>
              <w:t>(</w:t>
            </w:r>
            <w:r>
              <w:rPr>
                <w:rFonts w:hint="eastAsia" w:ascii="ＭＳ 明朝" w:hAnsi="ＭＳ 明朝" w:eastAsia="ＭＳ 明朝"/>
                <w:sz w:val="24"/>
              </w:rPr>
              <w:t>５</w:t>
            </w:r>
            <w:r>
              <w:rPr>
                <w:rFonts w:hint="default" w:ascii="ＭＳ 明朝" w:hAnsi="ＭＳ 明朝" w:eastAsia="ＭＳ 明朝"/>
                <w:sz w:val="24"/>
              </w:rPr>
              <w:t xml:space="preserve">) </w:t>
            </w:r>
            <w:r>
              <w:rPr>
                <w:rFonts w:hint="default" w:ascii="ＭＳ 明朝" w:hAnsi="ＭＳ 明朝" w:eastAsia="ＭＳ 明朝"/>
                <w:sz w:val="24"/>
              </w:rPr>
              <w:t>床ずれ</w:t>
            </w:r>
            <w:r>
              <w:rPr>
                <w:rFonts w:hint="eastAsia" w:ascii="ＭＳ 明朝" w:hAnsi="ＭＳ 明朝" w:eastAsia="ＭＳ 明朝"/>
                <w:sz w:val="24"/>
              </w:rPr>
              <w:t>防止</w:t>
            </w:r>
            <w:r>
              <w:rPr>
                <w:rFonts w:hint="default" w:ascii="ＭＳ 明朝" w:hAnsi="ＭＳ 明朝" w:eastAsia="ＭＳ 明朝"/>
                <w:sz w:val="24"/>
              </w:rPr>
              <w:t>用具、</w:t>
            </w:r>
            <w:r>
              <w:rPr>
                <w:rFonts w:hint="default" w:ascii="ＭＳ 明朝" w:hAnsi="ＭＳ 明朝" w:eastAsia="ＭＳ 明朝"/>
                <w:sz w:val="24"/>
              </w:rPr>
              <w:t>(</w:t>
            </w:r>
            <w:r>
              <w:rPr>
                <w:rFonts w:hint="eastAsia" w:ascii="ＭＳ 明朝" w:hAnsi="ＭＳ 明朝" w:eastAsia="ＭＳ 明朝"/>
                <w:sz w:val="24"/>
              </w:rPr>
              <w:t>６</w:t>
            </w:r>
            <w:r>
              <w:rPr>
                <w:rFonts w:hint="default" w:ascii="ＭＳ 明朝" w:hAnsi="ＭＳ 明朝" w:eastAsia="ＭＳ 明朝"/>
                <w:sz w:val="24"/>
              </w:rPr>
              <w:t xml:space="preserve">) </w:t>
            </w:r>
            <w:r>
              <w:rPr>
                <w:rFonts w:hint="default" w:ascii="ＭＳ 明朝" w:hAnsi="ＭＳ 明朝" w:eastAsia="ＭＳ 明朝"/>
                <w:sz w:val="24"/>
              </w:rPr>
              <w:t>体位変換器、</w:t>
            </w:r>
            <w:r>
              <w:rPr>
                <w:rFonts w:hint="default" w:ascii="ＭＳ 明朝" w:hAnsi="ＭＳ 明朝" w:eastAsia="ＭＳ 明朝"/>
                <w:sz w:val="24"/>
              </w:rPr>
              <w:t>(</w:t>
            </w:r>
            <w:r>
              <w:rPr>
                <w:rFonts w:hint="eastAsia" w:ascii="ＭＳ 明朝" w:hAnsi="ＭＳ 明朝" w:eastAsia="ＭＳ 明朝"/>
                <w:sz w:val="24"/>
              </w:rPr>
              <w:t>７</w:t>
            </w:r>
            <w:r>
              <w:rPr>
                <w:rFonts w:hint="default" w:ascii="ＭＳ 明朝" w:hAnsi="ＭＳ 明朝" w:eastAsia="ＭＳ 明朝"/>
                <w:sz w:val="24"/>
              </w:rPr>
              <w:t xml:space="preserve">) </w:t>
            </w:r>
            <w:r>
              <w:rPr>
                <w:rFonts w:hint="default" w:ascii="ＭＳ 明朝" w:hAnsi="ＭＳ 明朝" w:eastAsia="ＭＳ 明朝"/>
                <w:sz w:val="24"/>
              </w:rPr>
              <w:t>手すり、</w:t>
            </w:r>
            <w:r>
              <w:rPr>
                <w:rFonts w:hint="default" w:ascii="ＭＳ 明朝" w:hAnsi="ＭＳ 明朝" w:eastAsia="ＭＳ 明朝"/>
                <w:sz w:val="24"/>
              </w:rPr>
              <w:t>(</w:t>
            </w:r>
            <w:r>
              <w:rPr>
                <w:rFonts w:hint="eastAsia" w:ascii="ＭＳ 明朝" w:hAnsi="ＭＳ 明朝" w:eastAsia="ＭＳ 明朝"/>
                <w:sz w:val="24"/>
              </w:rPr>
              <w:t>８</w:t>
            </w:r>
            <w:r>
              <w:rPr>
                <w:rFonts w:hint="default" w:ascii="ＭＳ 明朝" w:hAnsi="ＭＳ 明朝" w:eastAsia="ＭＳ 明朝"/>
                <w:sz w:val="24"/>
              </w:rPr>
              <w:t xml:space="preserve">) </w:t>
            </w:r>
            <w:r>
              <w:rPr>
                <w:rFonts w:hint="default" w:ascii="ＭＳ 明朝" w:hAnsi="ＭＳ 明朝" w:eastAsia="ＭＳ 明朝"/>
                <w:sz w:val="24"/>
              </w:rPr>
              <w:t>スロープ、</w:t>
            </w:r>
            <w:r>
              <w:rPr>
                <w:rFonts w:hint="default" w:ascii="ＭＳ 明朝" w:hAnsi="ＭＳ 明朝" w:eastAsia="ＭＳ 明朝"/>
                <w:sz w:val="24"/>
              </w:rPr>
              <w:t>(</w:t>
            </w:r>
            <w:r>
              <w:rPr>
                <w:rFonts w:hint="eastAsia" w:ascii="ＭＳ 明朝" w:hAnsi="ＭＳ 明朝" w:eastAsia="ＭＳ 明朝"/>
                <w:sz w:val="24"/>
              </w:rPr>
              <w:t>９</w:t>
            </w:r>
            <w:r>
              <w:rPr>
                <w:rFonts w:hint="default" w:ascii="ＭＳ 明朝" w:hAnsi="ＭＳ 明朝" w:eastAsia="ＭＳ 明朝"/>
                <w:sz w:val="24"/>
              </w:rPr>
              <w:t xml:space="preserve">) </w:t>
            </w:r>
            <w:r>
              <w:rPr>
                <w:rFonts w:hint="default" w:ascii="ＭＳ 明朝" w:hAnsi="ＭＳ 明朝" w:eastAsia="ＭＳ 明朝"/>
                <w:sz w:val="24"/>
              </w:rPr>
              <w:t>歩行器、</w:t>
            </w:r>
            <w:r>
              <w:rPr>
                <w:rFonts w:hint="default" w:ascii="ＭＳ 明朝" w:hAnsi="ＭＳ 明朝" w:eastAsia="ＭＳ 明朝"/>
                <w:sz w:val="24"/>
              </w:rPr>
              <w:t xml:space="preserve">(10) </w:t>
            </w:r>
            <w:r>
              <w:rPr>
                <w:rFonts w:hint="default" w:ascii="ＭＳ 明朝" w:hAnsi="ＭＳ 明朝" w:eastAsia="ＭＳ 明朝"/>
                <w:sz w:val="24"/>
              </w:rPr>
              <w:t>歩行補助つえ、</w:t>
            </w:r>
            <w:r>
              <w:rPr>
                <w:rFonts w:hint="default" w:ascii="ＭＳ 明朝" w:hAnsi="ＭＳ 明朝" w:eastAsia="ＭＳ 明朝"/>
                <w:sz w:val="24"/>
              </w:rPr>
              <w:t xml:space="preserve">(11) </w:t>
            </w:r>
            <w:r>
              <w:rPr>
                <w:rFonts w:hint="default" w:ascii="ＭＳ 明朝" w:hAnsi="ＭＳ 明朝" w:eastAsia="ＭＳ 明朝"/>
                <w:sz w:val="24"/>
              </w:rPr>
              <w:t>認知症老人徘徊感知機器、</w:t>
            </w:r>
            <w:r>
              <w:rPr>
                <w:rFonts w:hint="default" w:ascii="ＭＳ 明朝" w:hAnsi="ＭＳ 明朝" w:eastAsia="ＭＳ 明朝"/>
                <w:sz w:val="24"/>
              </w:rPr>
              <w:t xml:space="preserve">(12) </w:t>
            </w:r>
            <w:r>
              <w:rPr>
                <w:rFonts w:hint="default" w:ascii="ＭＳ 明朝" w:hAnsi="ＭＳ 明朝" w:eastAsia="ＭＳ 明朝"/>
                <w:sz w:val="24"/>
              </w:rPr>
              <w:t>移動用リフト（つり具の部分を除く）、</w:t>
            </w:r>
            <w:r>
              <w:rPr>
                <w:rFonts w:hint="default" w:ascii="ＭＳ 明朝" w:hAnsi="ＭＳ 明朝" w:eastAsia="ＭＳ 明朝"/>
                <w:sz w:val="24"/>
              </w:rPr>
              <w:t xml:space="preserve">(13) </w:t>
            </w:r>
            <w:r>
              <w:rPr>
                <w:rFonts w:hint="default" w:ascii="ＭＳ 明朝" w:hAnsi="ＭＳ 明朝" w:eastAsia="ＭＳ 明朝"/>
                <w:sz w:val="24"/>
              </w:rPr>
              <w:t>自動排泄処理装置、の福祉用具を貸与</w:t>
            </w:r>
            <w:r>
              <w:rPr>
                <w:rFonts w:hint="eastAsia" w:ascii="ＭＳ 明朝" w:hAnsi="ＭＳ 明朝" w:eastAsia="ＭＳ 明朝"/>
                <w:sz w:val="24"/>
              </w:rPr>
              <w:t>（レンタル）するサービスです。</w:t>
            </w:r>
          </w:p>
        </w:tc>
      </w:tr>
      <w:tr>
        <w:trPr>
          <w:trHeight w:val="846" w:hRule="atLeast"/>
        </w:trPr>
        <w:tc>
          <w:tcPr>
            <w:tcW w:w="3516" w:type="dxa"/>
            <w:shd w:val="clear" w:color="auto" w:themeFill="accent1" w:themeFillTint="33" w:themeFillShade="FF"/>
            <w:vAlign w:val="top"/>
          </w:tcPr>
          <w:p>
            <w:pPr>
              <w:pStyle w:val="0"/>
              <w:rPr>
                <w:rFonts w:hint="default"/>
                <w:sz w:val="24"/>
              </w:rPr>
            </w:pPr>
            <w:r>
              <w:rPr>
                <w:rFonts w:hint="eastAsia" w:ascii="ＭＳ ゴシック" w:hAnsi="ＭＳ ゴシック" w:eastAsia="ＭＳ ゴシック"/>
                <w:sz w:val="24"/>
              </w:rPr>
              <w:t>特定福祉用具購入費の支給</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福祉用具のうち、入浴や排泄の際に用いられるなど、貸与にはなじまないもの（これを「特定福祉用具」といいます）を購入した場合に購入費を支給するサービスです。具体的には、</w:t>
            </w:r>
            <w:r>
              <w:rPr>
                <w:rFonts w:hint="default" w:ascii="ＭＳ 明朝" w:hAnsi="ＭＳ 明朝" w:eastAsia="ＭＳ 明朝"/>
                <w:sz w:val="24"/>
              </w:rPr>
              <w:t>(</w:t>
            </w:r>
            <w:r>
              <w:rPr>
                <w:rFonts w:hint="eastAsia" w:ascii="ＭＳ 明朝" w:hAnsi="ＭＳ 明朝" w:eastAsia="ＭＳ 明朝"/>
                <w:sz w:val="24"/>
              </w:rPr>
              <w:t>１</w:t>
            </w:r>
            <w:r>
              <w:rPr>
                <w:rFonts w:hint="default" w:ascii="ＭＳ 明朝" w:hAnsi="ＭＳ 明朝" w:eastAsia="ＭＳ 明朝"/>
                <w:sz w:val="24"/>
              </w:rPr>
              <w:t xml:space="preserve">) </w:t>
            </w:r>
            <w:r>
              <w:rPr>
                <w:rFonts w:hint="default" w:ascii="ＭＳ 明朝" w:hAnsi="ＭＳ 明朝" w:eastAsia="ＭＳ 明朝"/>
                <w:sz w:val="24"/>
              </w:rPr>
              <w:t>腰掛便座、</w:t>
            </w:r>
            <w:r>
              <w:rPr>
                <w:rFonts w:hint="default" w:ascii="ＭＳ 明朝" w:hAnsi="ＭＳ 明朝" w:eastAsia="ＭＳ 明朝"/>
                <w:sz w:val="24"/>
              </w:rPr>
              <w:t>(</w:t>
            </w:r>
            <w:r>
              <w:rPr>
                <w:rFonts w:hint="eastAsia" w:ascii="ＭＳ 明朝" w:hAnsi="ＭＳ 明朝" w:eastAsia="ＭＳ 明朝"/>
                <w:sz w:val="24"/>
              </w:rPr>
              <w:t>２</w:t>
            </w:r>
            <w:r>
              <w:rPr>
                <w:rFonts w:hint="default" w:ascii="ＭＳ 明朝" w:hAnsi="ＭＳ 明朝" w:eastAsia="ＭＳ 明朝"/>
                <w:sz w:val="24"/>
              </w:rPr>
              <w:t xml:space="preserve">) </w:t>
            </w:r>
            <w:r>
              <w:rPr>
                <w:rFonts w:hint="default" w:ascii="ＭＳ 明朝" w:hAnsi="ＭＳ 明朝" w:eastAsia="ＭＳ 明朝"/>
                <w:sz w:val="24"/>
              </w:rPr>
              <w:t>自動排泄処理装置の交換可能部品、</w:t>
            </w:r>
            <w:r>
              <w:rPr>
                <w:rFonts w:hint="default" w:ascii="ＭＳ 明朝" w:hAnsi="ＭＳ 明朝" w:eastAsia="ＭＳ 明朝"/>
                <w:sz w:val="24"/>
              </w:rPr>
              <w:t>(</w:t>
            </w:r>
            <w:r>
              <w:rPr>
                <w:rFonts w:hint="eastAsia" w:ascii="ＭＳ 明朝" w:hAnsi="ＭＳ 明朝" w:eastAsia="ＭＳ 明朝"/>
                <w:sz w:val="24"/>
              </w:rPr>
              <w:t>３</w:t>
            </w:r>
            <w:r>
              <w:rPr>
                <w:rFonts w:hint="default" w:ascii="ＭＳ 明朝" w:hAnsi="ＭＳ 明朝" w:eastAsia="ＭＳ 明朝"/>
                <w:sz w:val="24"/>
              </w:rPr>
              <w:t xml:space="preserve">) </w:t>
            </w:r>
            <w:r>
              <w:rPr>
                <w:rFonts w:hint="default" w:ascii="ＭＳ 明朝" w:hAnsi="ＭＳ 明朝" w:eastAsia="ＭＳ 明朝"/>
                <w:sz w:val="24"/>
              </w:rPr>
              <w:t>入浴補助用具、</w:t>
            </w:r>
            <w:r>
              <w:rPr>
                <w:rFonts w:hint="default" w:ascii="ＭＳ 明朝" w:hAnsi="ＭＳ 明朝" w:eastAsia="ＭＳ 明朝"/>
                <w:sz w:val="24"/>
              </w:rPr>
              <w:t>(</w:t>
            </w:r>
            <w:r>
              <w:rPr>
                <w:rFonts w:hint="eastAsia" w:ascii="ＭＳ 明朝" w:hAnsi="ＭＳ 明朝" w:eastAsia="ＭＳ 明朝"/>
                <w:sz w:val="24"/>
              </w:rPr>
              <w:t>４</w:t>
            </w:r>
            <w:r>
              <w:rPr>
                <w:rFonts w:hint="default" w:ascii="ＭＳ 明朝" w:hAnsi="ＭＳ 明朝" w:eastAsia="ＭＳ 明朝"/>
                <w:sz w:val="24"/>
              </w:rPr>
              <w:t xml:space="preserve">) </w:t>
            </w:r>
            <w:r>
              <w:rPr>
                <w:rFonts w:hint="default" w:ascii="ＭＳ 明朝" w:hAnsi="ＭＳ 明朝" w:eastAsia="ＭＳ 明朝"/>
                <w:sz w:val="24"/>
              </w:rPr>
              <w:t>簡易浴槽、</w:t>
            </w:r>
            <w:r>
              <w:rPr>
                <w:rFonts w:hint="default" w:ascii="ＭＳ 明朝" w:hAnsi="ＭＳ 明朝" w:eastAsia="ＭＳ 明朝"/>
                <w:sz w:val="24"/>
              </w:rPr>
              <w:t>(</w:t>
            </w:r>
            <w:r>
              <w:rPr>
                <w:rFonts w:hint="eastAsia" w:ascii="ＭＳ 明朝" w:hAnsi="ＭＳ 明朝" w:eastAsia="ＭＳ 明朝"/>
                <w:sz w:val="24"/>
              </w:rPr>
              <w:t>５</w:t>
            </w:r>
            <w:r>
              <w:rPr>
                <w:rFonts w:hint="default" w:ascii="ＭＳ 明朝" w:hAnsi="ＭＳ 明朝" w:eastAsia="ＭＳ 明朝"/>
                <w:sz w:val="24"/>
              </w:rPr>
              <w:t xml:space="preserve">) </w:t>
            </w:r>
            <w:r>
              <w:rPr>
                <w:rFonts w:hint="default" w:ascii="ＭＳ 明朝" w:hAnsi="ＭＳ 明朝" w:eastAsia="ＭＳ 明朝"/>
                <w:sz w:val="24"/>
              </w:rPr>
              <w:t>移動用リフトのつり具の部分、の５品目です。</w:t>
            </w:r>
          </w:p>
        </w:tc>
      </w:tr>
      <w:tr>
        <w:trPr>
          <w:trHeight w:val="360" w:hRule="atLeast"/>
        </w:trPr>
        <w:tc>
          <w:tcPr>
            <w:tcW w:w="3516" w:type="dxa"/>
            <w:shd w:val="clear" w:color="auto" w:themeFill="accent1" w:themeFillTint="33" w:themeFillShade="FF"/>
            <w:vAlign w:val="top"/>
          </w:tcPr>
          <w:p>
            <w:pPr>
              <w:pStyle w:val="0"/>
              <w:rPr>
                <w:rFonts w:hint="default"/>
                <w:sz w:val="24"/>
              </w:rPr>
            </w:pPr>
            <w:r>
              <w:rPr>
                <w:rFonts w:hint="eastAsia" w:ascii="ＭＳ ゴシック" w:hAnsi="ＭＳ ゴシック" w:eastAsia="ＭＳ ゴシック"/>
                <w:sz w:val="24"/>
              </w:rPr>
              <w:t>住宅改修費の支給</w:t>
            </w:r>
            <w:r>
              <w:rPr>
                <w:rFonts w:hint="eastAsia" w:ascii="ＭＳ ゴシック" w:hAnsi="ＭＳ ゴシック" w:eastAsia="ＭＳ ゴシック"/>
                <w:sz w:val="24"/>
                <w:vertAlign w:val="superscript"/>
              </w:rPr>
              <w:t>※</w:t>
            </w:r>
          </w:p>
        </w:tc>
        <w:tc>
          <w:tcPr>
            <w:tcW w:w="6188" w:type="dxa"/>
            <w:vAlign w:val="top"/>
          </w:tcPr>
          <w:p>
            <w:pPr>
              <w:pStyle w:val="0"/>
              <w:rPr>
                <w:rFonts w:hint="default" w:ascii="ＭＳ 明朝" w:hAnsi="ＭＳ 明朝" w:eastAsia="ＭＳ 明朝"/>
                <w:sz w:val="24"/>
              </w:rPr>
            </w:pPr>
            <w:r>
              <w:rPr>
                <w:rFonts w:hint="eastAsia" w:ascii="ＭＳ 明朝" w:hAnsi="ＭＳ 明朝" w:eastAsia="ＭＳ 明朝"/>
                <w:sz w:val="24"/>
              </w:rPr>
              <w:t>住宅の廊下や階段への手すりの取り付け、床の段差解消など、小規模な住宅改修に対しその費用を支給するサービスをいいます。</w:t>
            </w:r>
          </w:p>
        </w:tc>
      </w:tr>
    </w:tbl>
    <w:p>
      <w:pPr>
        <w:pStyle w:val="0"/>
        <w:ind w:firstLine="400" w:firstLineChars="200"/>
        <w:rPr>
          <w:rFonts w:hint="default"/>
          <w:sz w:val="20"/>
        </w:rPr>
      </w:pPr>
      <w:r>
        <w:rPr>
          <w:rFonts w:hint="eastAsia"/>
          <w:sz w:val="20"/>
        </w:rPr>
        <w:t>※介護予防サービスを含む</w:t>
      </w:r>
    </w:p>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【施設サービス】</w:t>
      </w:r>
    </w:p>
    <w:tbl>
      <w:tblPr>
        <w:tblStyle w:val="59"/>
        <w:tblW w:w="9497" w:type="dxa"/>
        <w:tblInd w:w="392" w:type="dxa"/>
        <w:tblLayout w:type="fixed"/>
        <w:tblLook w:firstRow="1" w:lastRow="1" w:firstColumn="1" w:lastColumn="1" w:noHBand="0" w:noVBand="0" w:val="01E0"/>
      </w:tblPr>
      <w:tblGrid>
        <w:gridCol w:w="3260"/>
        <w:gridCol w:w="6237"/>
      </w:tblGrid>
      <w:tr>
        <w:trPr>
          <w:trHeight w:val="346" w:hRule="atLeast"/>
        </w:trPr>
        <w:tc>
          <w:tcPr>
            <w:tcW w:w="3260"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サービス名</w:t>
            </w:r>
          </w:p>
        </w:tc>
        <w:tc>
          <w:tcPr>
            <w:tcW w:w="6237"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概要</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介護老人福祉施設</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（特別養護老人ホーム）</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日常生活に介護が必要なかたで、居宅で自立生活を送ることや介護を受けることが困難なかたが入所し、食事、排泄、入浴などの介護、その他日常生活上の支援、機能訓練、健康管理及び療養上の支援を行うサービスです。</w:t>
            </w:r>
          </w:p>
          <w:p>
            <w:pPr>
              <w:pStyle w:val="0"/>
              <w:rPr>
                <w:rFonts w:hint="default" w:ascii="ＭＳ 明朝" w:hAnsi="ＭＳ 明朝" w:eastAsia="ＭＳ 明朝"/>
                <w:sz w:val="24"/>
              </w:rPr>
            </w:pPr>
            <w:r>
              <w:rPr>
                <w:rFonts w:hint="eastAsia" w:ascii="ＭＳ 明朝" w:hAnsi="ＭＳ 明朝" w:eastAsia="ＭＳ 明朝"/>
                <w:sz w:val="24"/>
              </w:rPr>
              <w:t>（原則、要介護３以上のかたが対象です）</w:t>
            </w:r>
          </w:p>
        </w:tc>
      </w:tr>
      <w:tr>
        <w:trPr>
          <w:trHeight w:val="77"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介護老人保健施設</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病状が安定しているかたで、病気、けが等により機能訓練等を必要とするかたが入所し、自宅に戻れるよう機能訓練、看護または医学的管理下における介護、その他必要な医療、日常生活上の支援を行うサービスです。</w:t>
            </w:r>
          </w:p>
          <w:p>
            <w:pPr>
              <w:pStyle w:val="0"/>
              <w:rPr>
                <w:rFonts w:hint="default" w:ascii="ＭＳ 明朝" w:hAnsi="ＭＳ 明朝" w:eastAsia="ＭＳ 明朝"/>
                <w:sz w:val="24"/>
              </w:rPr>
            </w:pPr>
            <w:r>
              <w:rPr>
                <w:rFonts w:hint="eastAsia" w:ascii="ＭＳ 明朝" w:hAnsi="ＭＳ 明朝" w:eastAsia="ＭＳ 明朝"/>
                <w:sz w:val="24"/>
              </w:rPr>
              <w:t>（要介護１以上のかたが対象です）</w:t>
            </w:r>
          </w:p>
        </w:tc>
      </w:tr>
    </w:tbl>
    <w:p>
      <w:pPr>
        <w:pStyle w:val="0"/>
        <w:rPr>
          <w:rFonts w:hint="default"/>
        </w:rPr>
      </w:pPr>
    </w:p>
    <w:tbl>
      <w:tblPr>
        <w:tblStyle w:val="59"/>
        <w:tblW w:w="9497" w:type="dxa"/>
        <w:tblInd w:w="392" w:type="dxa"/>
        <w:tblLayout w:type="fixed"/>
        <w:tblLook w:firstRow="1" w:lastRow="1" w:firstColumn="1" w:lastColumn="1" w:noHBand="0" w:noVBand="0" w:val="01E0"/>
      </w:tblPr>
      <w:tblGrid>
        <w:gridCol w:w="3260"/>
        <w:gridCol w:w="6237"/>
      </w:tblGrid>
      <w:tr>
        <w:trPr>
          <w:trHeight w:val="360" w:hRule="atLeast"/>
        </w:trPr>
        <w:tc>
          <w:tcPr>
            <w:tcW w:w="3260"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サービス名</w:t>
            </w:r>
          </w:p>
        </w:tc>
        <w:tc>
          <w:tcPr>
            <w:tcW w:w="6237"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概要</w:t>
            </w:r>
          </w:p>
        </w:tc>
      </w:tr>
      <w:tr>
        <w:trPr>
          <w:trHeight w:val="68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介護医療院／介護療養型医療施設</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長期にわたり療養や介護が必要なかたが入所（入院）し、療養上の管理、看護、医学的管理下における介護、機能訓練、そのほか必要な医療、日常生活上の支援を行うサービスです。</w:t>
            </w:r>
          </w:p>
          <w:p>
            <w:pPr>
              <w:pStyle w:val="0"/>
              <w:rPr>
                <w:rFonts w:hint="default" w:ascii="ＭＳ 明朝" w:hAnsi="ＭＳ 明朝" w:eastAsia="ＭＳ 明朝"/>
                <w:sz w:val="24"/>
              </w:rPr>
            </w:pPr>
            <w:r>
              <w:rPr>
                <w:rFonts w:hint="eastAsia" w:ascii="ＭＳ 明朝" w:hAnsi="ＭＳ 明朝" w:eastAsia="ＭＳ 明朝"/>
                <w:sz w:val="24"/>
              </w:rPr>
              <w:t>（要介護１以上のかたが対象です）</w:t>
            </w:r>
          </w:p>
          <w:p>
            <w:pPr>
              <w:pStyle w:val="0"/>
              <w:rPr>
                <w:rFonts w:hint="default" w:ascii="ＭＳ 明朝" w:hAnsi="ＭＳ 明朝" w:eastAsia="ＭＳ 明朝"/>
                <w:sz w:val="24"/>
              </w:rPr>
            </w:pPr>
            <w:r>
              <w:rPr>
                <w:rFonts w:hint="eastAsia" w:ascii="ＭＳ 明朝" w:hAnsi="ＭＳ 明朝" w:eastAsia="ＭＳ 明朝"/>
                <w:sz w:val="24"/>
              </w:rPr>
              <w:t>※介護療養型医療施設は、令和５年に制度廃止される予定です。</w:t>
            </w:r>
          </w:p>
        </w:tc>
      </w:tr>
    </w:tbl>
    <w:p>
      <w:pPr>
        <w:pStyle w:val="0"/>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【地域密着型サービス】</w:t>
      </w:r>
    </w:p>
    <w:tbl>
      <w:tblPr>
        <w:tblStyle w:val="59"/>
        <w:tblW w:w="9497" w:type="dxa"/>
        <w:tblInd w:w="392" w:type="dxa"/>
        <w:tblLayout w:type="fixed"/>
        <w:tblLook w:firstRow="1" w:lastRow="1" w:firstColumn="1" w:lastColumn="1" w:noHBand="0" w:noVBand="0" w:val="01E0"/>
      </w:tblPr>
      <w:tblGrid>
        <w:gridCol w:w="3260"/>
        <w:gridCol w:w="6237"/>
      </w:tblGrid>
      <w:tr>
        <w:trPr>
          <w:trHeight w:val="346" w:hRule="atLeast"/>
          <w:tblHeader/>
        </w:trPr>
        <w:tc>
          <w:tcPr>
            <w:tcW w:w="3260"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サービス名</w:t>
            </w:r>
          </w:p>
        </w:tc>
        <w:tc>
          <w:tcPr>
            <w:tcW w:w="6237" w:type="dxa"/>
            <w:shd w:val="clear" w:color="auto" w:themeFill="accent1" w:themeFillTint="33" w:themeFillShade="FF"/>
            <w:vAlign w:val="top"/>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概要</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color w:val="000000" w:themeColor="text1"/>
                <w:sz w:val="24"/>
              </w:rPr>
            </w:pPr>
            <w:r>
              <w:rPr>
                <w:rFonts w:hint="eastAsia" w:ascii="ＭＳ ゴシック" w:hAnsi="ＭＳ ゴシック" w:eastAsia="ＭＳ ゴシック"/>
                <w:color w:val="000000" w:themeColor="text1"/>
                <w:sz w:val="24"/>
              </w:rPr>
              <w:t>定期巡回・随時対応型</w:t>
            </w:r>
          </w:p>
          <w:p>
            <w:pPr>
              <w:pStyle w:val="0"/>
              <w:rPr>
                <w:rFonts w:hint="default" w:ascii="ＭＳ ゴシック" w:hAnsi="ＭＳ ゴシック" w:eastAsia="ＭＳ ゴシック"/>
                <w:color w:val="C00000"/>
                <w:sz w:val="24"/>
              </w:rPr>
            </w:pPr>
            <w:r>
              <w:rPr>
                <w:rFonts w:hint="eastAsia" w:ascii="ＭＳ ゴシック" w:hAnsi="ＭＳ ゴシック" w:eastAsia="ＭＳ ゴシック"/>
                <w:color w:val="000000" w:themeColor="text1"/>
                <w:sz w:val="24"/>
              </w:rPr>
              <w:t>訪問介護看護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定期的な巡回や利用者からの連絡への対応など、利用者の心身の状況に応じて、</w:t>
            </w:r>
            <w:r>
              <w:rPr>
                <w:rFonts w:hint="eastAsia" w:ascii="ＭＳ 明朝" w:hAnsi="ＭＳ 明朝" w:eastAsia="ＭＳ 明朝"/>
                <w:sz w:val="24"/>
              </w:rPr>
              <w:t>24</w:t>
            </w:r>
            <w:r>
              <w:rPr>
                <w:rFonts w:hint="eastAsia" w:ascii="ＭＳ 明朝" w:hAnsi="ＭＳ 明朝" w:eastAsia="ＭＳ 明朝"/>
                <w:sz w:val="24"/>
              </w:rPr>
              <w:t>時間</w:t>
            </w:r>
            <w:r>
              <w:rPr>
                <w:rFonts w:hint="eastAsia" w:ascii="ＭＳ 明朝" w:hAnsi="ＭＳ 明朝" w:eastAsia="ＭＳ 明朝"/>
                <w:sz w:val="24"/>
              </w:rPr>
              <w:t>365</w:t>
            </w:r>
            <w:r>
              <w:rPr>
                <w:rFonts w:hint="eastAsia" w:ascii="ＭＳ 明朝" w:hAnsi="ＭＳ 明朝" w:eastAsia="ＭＳ 明朝"/>
                <w:sz w:val="24"/>
              </w:rPr>
              <w:t>日必要なサービスを柔軟に提供するサービスです。訪問介護員（ホームヘルパー）だけでなく看護師などとも連携し、介護と看護の一体的なサービス提供を行うことができます。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夜間対応型訪問介護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夜間に、訪問介護員（ホームヘルパー）が自宅等を定期訪問し、入浴、排泄、食事など身の回りの支援を行うほか、通報システムによる随時の対応を行います。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地域密着型通所介護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定員が</w:t>
            </w:r>
            <w:r>
              <w:rPr>
                <w:rFonts w:hint="eastAsia" w:ascii="ＭＳ 明朝" w:hAnsi="ＭＳ 明朝" w:eastAsia="ＭＳ 明朝"/>
                <w:sz w:val="24"/>
              </w:rPr>
              <w:t>18</w:t>
            </w:r>
            <w:r>
              <w:rPr>
                <w:rFonts w:hint="eastAsia" w:ascii="ＭＳ 明朝" w:hAnsi="ＭＳ 明朝" w:eastAsia="ＭＳ 明朝"/>
                <w:sz w:val="24"/>
              </w:rPr>
              <w:t>人以下の小規模なデイサービスセンター（通所介護施設）に通い、食事、入浴等の介護などの日常生活上の支援や機能訓練等を行うサービスです。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療養通所介護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常時看護師による観察が必要な難病等の重度要介護者またはがん末期患者を対象とし、療養通所介護計画にもとづき、入浴、排泄、食事などの介護その他の日常生活上の支援と機能訓練を行うサービスです。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認知症対応型通所介護</w:t>
            </w:r>
            <w:r>
              <w:rPr>
                <w:rFonts w:hint="eastAsia" w:ascii="ＭＳ ゴシック" w:hAnsi="ＭＳ ゴシック" w:eastAsia="ＭＳ ゴシック"/>
                <w:sz w:val="24"/>
                <w:vertAlign w:val="superscript"/>
              </w:rPr>
              <w:t>※</w:t>
            </w:r>
          </w:p>
          <w:p>
            <w:pPr>
              <w:pStyle w:val="0"/>
              <w:ind w:right="-130" w:rightChars="-54"/>
              <w:rPr>
                <w:rFonts w:hint="default" w:ascii="ＭＳ ゴシック" w:hAnsi="ＭＳ ゴシック" w:eastAsia="ＭＳ ゴシック"/>
                <w:sz w:val="24"/>
              </w:rPr>
            </w:pPr>
            <w:r>
              <w:rPr>
                <w:rFonts w:hint="eastAsia" w:ascii="ＭＳ ゴシック" w:hAnsi="ＭＳ ゴシック" w:eastAsia="ＭＳ ゴシック"/>
                <w:sz w:val="22"/>
              </w:rPr>
              <w:t>（認知症対応型デイサービス）</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認知症のかたを対象とした専門的なケアを目的に、デイサービスセンターなどで提供される、入浴、排泄、食事などの介護、そのほか日常生活生活上の支援や機能訓練などを行うサービスです。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小規模多機能型居宅介護</w:t>
            </w:r>
            <w:r>
              <w:rPr>
                <w:rFonts w:hint="eastAsia" w:ascii="ＭＳ ゴシック" w:hAnsi="ＭＳ ゴシック" w:eastAsia="ＭＳ ゴシック"/>
                <w:sz w:val="24"/>
                <w:vertAlign w:val="superscript"/>
              </w:rPr>
              <w:t>※</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デイサービスセンターなどの通所サービスを中心に、必要に応じて自宅への訪問による介助や宿泊を組み合わせて、日常生活上の支援や機能訓練を行うサービスです。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認知症対応型共同生活介護</w:t>
            </w:r>
            <w:r>
              <w:rPr>
                <w:rFonts w:hint="eastAsia" w:ascii="ＭＳ ゴシック" w:hAnsi="ＭＳ ゴシック" w:eastAsia="ＭＳ ゴシック"/>
                <w:sz w:val="24"/>
                <w:vertAlign w:val="superscript"/>
              </w:rPr>
              <w:t>※</w:t>
            </w:r>
          </w:p>
          <w:p>
            <w:pPr>
              <w:pStyle w:val="0"/>
              <w:rPr>
                <w:rFonts w:hint="default" w:ascii="ＭＳ ゴシック" w:hAnsi="ＭＳ ゴシック" w:eastAsia="ＭＳ ゴシック"/>
                <w:sz w:val="24"/>
              </w:rPr>
            </w:pPr>
            <w:r>
              <w:rPr>
                <w:rFonts w:hint="eastAsia" w:ascii="ＭＳ ゴシック" w:hAnsi="ＭＳ ゴシック" w:eastAsia="ＭＳ ゴシック"/>
                <w:sz w:val="22"/>
              </w:rPr>
              <w:t>（グループホーム）</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利用者が共同生活を送る住居で提供される入浴、排泄、食事などの介護、そのほか日常生活上の支援や機能訓練などを行うサービスです。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地域密着型特定施設入居者</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生活介護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地域密着型特定施設に入居している利用者に対して、その施設が提供するサービスの内容などを定めた計画（地域密着型特定施設サービス計画）にもとづき、入浴、排泄、食事等の介護、洗濯、掃除等の家事、生活等に関する相談及び助言など、日常生活上の支援を行うサービス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地域密着型介護老人福祉施設入所者生活介護</w:t>
            </w:r>
          </w:p>
          <w:p>
            <w:pPr>
              <w:pStyle w:val="0"/>
              <w:ind w:right="-271" w:rightChars="-113"/>
              <w:rPr>
                <w:rFonts w:hint="default" w:ascii="ＭＳ ゴシック" w:hAnsi="ＭＳ ゴシック" w:eastAsia="ＭＳ ゴシック"/>
                <w:sz w:val="24"/>
              </w:rPr>
            </w:pPr>
            <w:r>
              <w:rPr>
                <w:rFonts w:hint="eastAsia" w:ascii="ＭＳ ゴシック" w:hAnsi="ＭＳ ゴシック" w:eastAsia="ＭＳ ゴシック"/>
                <w:sz w:val="22"/>
              </w:rPr>
              <w:t>（小規模特別養護老人ホーム）</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日常生活に介護が必要なかたで、居宅で自立生活を送ることや介護を受けることが困難なかたが入所し、食事、排泄、入浴などの介護、その他日常生活上の支援、機能訓練、健康管理及び療養上の支援を行うサービスです。定員は</w:t>
            </w:r>
            <w:r>
              <w:rPr>
                <w:rFonts w:hint="eastAsia" w:ascii="ＭＳ 明朝" w:hAnsi="ＭＳ 明朝" w:eastAsia="ＭＳ 明朝"/>
                <w:sz w:val="24"/>
              </w:rPr>
              <w:t>29</w:t>
            </w:r>
            <w:r>
              <w:rPr>
                <w:rFonts w:hint="eastAsia" w:ascii="ＭＳ 明朝" w:hAnsi="ＭＳ 明朝" w:eastAsia="ＭＳ 明朝"/>
                <w:sz w:val="24"/>
              </w:rPr>
              <w:t>人以下の小規模な施設です。</w:t>
            </w:r>
          </w:p>
          <w:p>
            <w:pPr>
              <w:pStyle w:val="0"/>
              <w:rPr>
                <w:rFonts w:hint="default" w:ascii="ＭＳ 明朝" w:hAnsi="ＭＳ 明朝" w:eastAsia="ＭＳ 明朝"/>
                <w:sz w:val="24"/>
              </w:rPr>
            </w:pPr>
            <w:r>
              <w:rPr>
                <w:rFonts w:hint="eastAsia" w:ascii="ＭＳ 明朝" w:hAnsi="ＭＳ 明朝" w:eastAsia="ＭＳ 明朝"/>
                <w:sz w:val="24"/>
              </w:rPr>
              <w:t>（原則、要介護３以上のかたが対象です）</w:t>
            </w:r>
          </w:p>
        </w:tc>
      </w:tr>
      <w:tr>
        <w:trPr>
          <w:trHeight w:val="1040" w:hRule="atLeast"/>
        </w:trPr>
        <w:tc>
          <w:tcPr>
            <w:tcW w:w="3260" w:type="dxa"/>
            <w:shd w:val="clear" w:color="auto" w:themeFill="accent1" w:themeFillTint="33" w:themeFillShade="FF"/>
            <w:vAlign w:val="top"/>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看護小規模多機能型</w:t>
            </w:r>
          </w:p>
          <w:p>
            <w:pPr>
              <w:pStyle w:val="0"/>
              <w:ind w:right="-130" w:rightChars="-54"/>
              <w:rPr>
                <w:rFonts w:hint="default" w:ascii="ＭＳ ゴシック" w:hAnsi="ＭＳ ゴシック" w:eastAsia="ＭＳ ゴシック"/>
                <w:sz w:val="24"/>
              </w:rPr>
            </w:pPr>
            <w:r>
              <w:rPr>
                <w:rFonts w:hint="eastAsia" w:ascii="ＭＳ ゴシック" w:hAnsi="ＭＳ ゴシック" w:eastAsia="ＭＳ ゴシック"/>
                <w:sz w:val="24"/>
              </w:rPr>
              <w:t>居宅介護</w:t>
            </w:r>
          </w:p>
        </w:tc>
        <w:tc>
          <w:tcPr>
            <w:tcW w:w="6237" w:type="dxa"/>
            <w:vAlign w:val="top"/>
          </w:tcPr>
          <w:p>
            <w:pPr>
              <w:pStyle w:val="0"/>
              <w:rPr>
                <w:rFonts w:hint="default" w:ascii="ＭＳ 明朝" w:hAnsi="ＭＳ 明朝" w:eastAsia="ＭＳ 明朝"/>
                <w:sz w:val="24"/>
              </w:rPr>
            </w:pPr>
            <w:r>
              <w:rPr>
                <w:rFonts w:hint="eastAsia" w:ascii="ＭＳ 明朝" w:hAnsi="ＭＳ 明朝" w:eastAsia="ＭＳ 明朝"/>
                <w:sz w:val="24"/>
              </w:rPr>
              <w:t>利用者の居宅への訪問、通所サービスへの通い、宿泊を組み合わせて、入浴、排泄、食事などの介護や療養生活を支援するための看護、そのほかの日常生活上の支援や機能訓練を行うサービスです。介護と看護の一体的なサービス提供を行うことができます。</w:t>
            </w:r>
          </w:p>
        </w:tc>
      </w:tr>
    </w:tbl>
    <w:p>
      <w:pPr>
        <w:pStyle w:val="0"/>
        <w:ind w:firstLine="400" w:firstLineChars="200"/>
        <w:rPr>
          <w:rFonts w:hint="default"/>
          <w:sz w:val="20"/>
        </w:rPr>
      </w:pPr>
      <w:r>
        <w:rPr>
          <w:rFonts w:hint="eastAsia"/>
          <w:sz w:val="20"/>
        </w:rPr>
        <w:t>※介護予防サービスを含む</w:t>
      </w:r>
    </w:p>
    <w:p>
      <w:pPr>
        <w:pStyle w:val="0"/>
        <w:rPr>
          <w:rFonts w:hint="default"/>
        </w:rPr>
      </w:pPr>
    </w:p>
    <w:p>
      <w:pPr>
        <w:pStyle w:val="0"/>
        <w:rPr>
          <w:rFonts w:hint="default"/>
        </w:rPr>
      </w:pPr>
    </w:p>
    <w:p>
      <w:pPr>
        <w:pStyle w:val="0"/>
        <w:rPr>
          <w:rFonts w:hint="default"/>
        </w:rPr>
      </w:pPr>
    </w:p>
    <w:sectPr>
      <w:pgSz w:w="11906" w:h="16838"/>
      <w:pgMar w:top="1440" w:right="1080" w:bottom="1440" w:left="1080" w:header="851" w:footer="454"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4"/>
      <w:jc w:val="center"/>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044657471"/>
      <w:docPartObj>
        <w:docPartGallery w:val="Page Numbers (Bottom of Page)"/>
        <w:docPartUnique/>
      </w:docPartObj>
    </w:sdtPr>
    <w:sdtEndPr>
      <w:rPr>
        <w:rFonts w:hint="default"/>
      </w:rPr>
    </w:sdtEndPr>
    <w:sdtContent>
      <w:p>
        <w:pPr>
          <w:pStyle w:val="24"/>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86</w:t>
        </w:r>
        <w:r>
          <w:rPr>
            <w:rFonts w:hint="eastAsia"/>
          </w:rPr>
          <w:fldChar w:fldCharType="end"/>
        </w:r>
      </w:p>
    </w:sdtContent>
  </w:sdt>
  <w:p>
    <w:pPr>
      <w:pStyle w:val="0"/>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906214908"/>
      <w:docPartObj>
        <w:docPartGallery w:val="Page Numbers (Bottom of Page)"/>
        <w:docPartUnique/>
      </w:docPartObj>
    </w:sdtPr>
    <w:sdtEndPr>
      <w:rPr>
        <w:rFonts w:hint="default"/>
      </w:rPr>
    </w:sdtEndPr>
    <w:sdtContent>
      <w:p>
        <w:pPr>
          <w:pStyle w:val="24"/>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128</w:t>
        </w:r>
        <w:r>
          <w:rPr>
            <w:rFonts w:hint="eastAsia"/>
          </w:rPr>
          <w:fldChar w:fldCharType="end"/>
        </w:r>
      </w:p>
    </w:sdtContent>
  </w:sdt>
  <w:p>
    <w:pPr>
      <w:pStyle w:val="0"/>
      <w:rPr>
        <w:rFonts w:hint="default"/>
      </w:rPr>
    </w:pPr>
  </w:p>
</w:ftr>
</file>

<file path=word/footnotes.xml><?xml version="1.0" encoding="utf-8"?>
<w:footnot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otnote w:id="1">
    <w:p>
      <w:pPr>
        <w:pStyle w:val="55"/>
        <w:rPr>
          <w:rFonts w:hint="default"/>
        </w:rPr>
      </w:pPr>
      <w:r>
        <w:rPr>
          <w:rFonts w:hint="eastAsia"/>
          <w:sz w:val="18"/>
        </w:rPr>
        <w:t>※</w:t>
      </w:r>
      <w:r>
        <w:rPr>
          <w:rStyle w:val="42"/>
          <w:rFonts w:hint="eastAsia"/>
          <w:sz w:val="18"/>
          <w:vertAlign w:val="baseline"/>
        </w:rPr>
        <w:footnoteRef/>
      </w:r>
      <w:r>
        <w:rPr>
          <w:rFonts w:hint="eastAsia"/>
          <w:sz w:val="18"/>
        </w:rPr>
        <w:t>　仕事をどのような過程で回す事が効率よく業務を行えるようになるかという理論のことをいう。第二次世界大戦後にアメリカの物理学者ウォルター・シューハートと物理学者エドワーズ・デミングにより提唱された理論で、</w:t>
      </w:r>
      <w:r>
        <w:rPr>
          <w:rFonts w:hint="default"/>
          <w:sz w:val="18"/>
        </w:rPr>
        <w:t>Plan(</w:t>
      </w:r>
      <w:r>
        <w:rPr>
          <w:rFonts w:hint="default"/>
          <w:sz w:val="18"/>
        </w:rPr>
        <w:t>計画</w:t>
      </w:r>
      <w:r>
        <w:rPr>
          <w:rFonts w:hint="default"/>
          <w:sz w:val="18"/>
        </w:rPr>
        <w:t>)</w:t>
      </w:r>
      <w:r>
        <w:rPr>
          <w:rFonts w:hint="default"/>
          <w:sz w:val="18"/>
        </w:rPr>
        <w:t>・</w:t>
      </w:r>
      <w:r>
        <w:rPr>
          <w:rFonts w:hint="default"/>
          <w:sz w:val="18"/>
        </w:rPr>
        <w:t>Do(</w:t>
      </w:r>
      <w:r>
        <w:rPr>
          <w:rFonts w:hint="default"/>
          <w:sz w:val="18"/>
        </w:rPr>
        <w:t>実行</w:t>
      </w:r>
      <w:r>
        <w:rPr>
          <w:rFonts w:hint="default"/>
          <w:sz w:val="18"/>
        </w:rPr>
        <w:t>)</w:t>
      </w:r>
      <w:r>
        <w:rPr>
          <w:rFonts w:hint="default"/>
          <w:sz w:val="18"/>
        </w:rPr>
        <w:t>・</w:t>
      </w:r>
      <w:r>
        <w:rPr>
          <w:rFonts w:hint="default"/>
          <w:sz w:val="18"/>
        </w:rPr>
        <w:t>Check(</w:t>
      </w:r>
      <w:r>
        <w:rPr>
          <w:rFonts w:hint="default"/>
          <w:sz w:val="18"/>
        </w:rPr>
        <w:t>点検・評価</w:t>
      </w:r>
      <w:r>
        <w:rPr>
          <w:rFonts w:hint="default"/>
          <w:sz w:val="18"/>
        </w:rPr>
        <w:t>)</w:t>
      </w:r>
      <w:r>
        <w:rPr>
          <w:rFonts w:hint="default"/>
          <w:sz w:val="18"/>
        </w:rPr>
        <w:t>・</w:t>
      </w:r>
      <w:r>
        <w:rPr>
          <w:rFonts w:hint="default"/>
          <w:sz w:val="18"/>
        </w:rPr>
        <w:t>Act(</w:t>
      </w:r>
      <w:r>
        <w:rPr>
          <w:rFonts w:hint="default"/>
          <w:sz w:val="18"/>
        </w:rPr>
        <w:t>改善・処置</w:t>
      </w:r>
      <w:r>
        <w:rPr>
          <w:rFonts w:hint="default"/>
          <w:sz w:val="18"/>
        </w:rPr>
        <w:t>)</w:t>
      </w:r>
      <w:r>
        <w:rPr>
          <w:rFonts w:hint="default"/>
          <w:sz w:val="18"/>
        </w:rPr>
        <w:t>の頭文字を取って</w:t>
      </w:r>
      <w:r>
        <w:rPr>
          <w:rFonts w:hint="eastAsia"/>
          <w:sz w:val="18"/>
        </w:rPr>
        <w:t>ＰＤＣＡ</w:t>
      </w:r>
      <w:r>
        <w:rPr>
          <w:rFonts w:hint="default"/>
          <w:sz w:val="18"/>
        </w:rPr>
        <w:t>サイクルと命名された。</w:t>
      </w:r>
    </w:p>
  </w:footnote>
  <w:footnote w:id="2">
    <w:p>
      <w:pPr>
        <w:pStyle w:val="55"/>
        <w:rPr>
          <w:rFonts w:hint="default"/>
        </w:rPr>
      </w:pPr>
      <w:r>
        <w:rPr>
          <w:rFonts w:hint="eastAsia"/>
          <w:sz w:val="18"/>
        </w:rPr>
        <w:t>※</w:t>
      </w:r>
      <w:r>
        <w:rPr>
          <w:rStyle w:val="42"/>
          <w:rFonts w:hint="eastAsia"/>
          <w:sz w:val="18"/>
          <w:vertAlign w:val="baseline"/>
        </w:rPr>
        <w:footnoteRef/>
      </w:r>
      <w:r>
        <w:rPr>
          <w:rFonts w:hint="eastAsia"/>
          <w:sz w:val="18"/>
        </w:rPr>
        <w:t>　心身の不使用が招くさまざまな機能低下。身体的には筋や骨の萎縮や関節拘縮、起立性低血圧等の循環器機能の低下等（低運動性症候群ともいう）、精神的には意欲の減衰や記憶力低下等がある。高齢者の病気やけがによる寝たきり状態の放置や社会交流の途絶から連鎖的に生じ、寝たきりの固定化につながることが多いことから、寝たきり症候群とも呼ばれ、できる限りの自立、機能活用を図ることが必要。</w:t>
      </w:r>
    </w:p>
  </w:footnote>
  <w:footnote w:id="3">
    <w:p>
      <w:pPr>
        <w:pStyle w:val="55"/>
        <w:rPr>
          <w:rFonts w:hint="default"/>
        </w:rPr>
      </w:pPr>
      <w:r>
        <w:rPr>
          <w:rFonts w:hint="eastAsia"/>
          <w:sz w:val="18"/>
        </w:rPr>
        <w:t>※</w:t>
      </w:r>
      <w:r>
        <w:rPr>
          <w:rStyle w:val="42"/>
          <w:rFonts w:hint="eastAsia"/>
          <w:sz w:val="18"/>
          <w:vertAlign w:val="baseline"/>
        </w:rPr>
        <w:footnoteRef/>
      </w:r>
      <w:r>
        <w:rPr>
          <w:rFonts w:hint="eastAsia"/>
          <w:sz w:val="18"/>
        </w:rPr>
        <w:t>　危険な目に遭いそうになって、ひやりとしたり、はっとしたりすること。重大な事故に発展したかもしれない危険な出来事。</w:t>
      </w:r>
    </w:p>
  </w:footnote>
  <w:footnote w:id="4">
    <w:p>
      <w:pPr>
        <w:pStyle w:val="55"/>
        <w:rPr>
          <w:rFonts w:hint="default"/>
          <w:sz w:val="20"/>
        </w:rPr>
      </w:pPr>
      <w:r>
        <w:rPr>
          <w:rFonts w:hint="eastAsia"/>
          <w:sz w:val="18"/>
        </w:rPr>
        <w:t>※</w:t>
      </w:r>
      <w:r>
        <w:rPr>
          <w:rStyle w:val="42"/>
          <w:rFonts w:hint="eastAsia"/>
          <w:sz w:val="18"/>
          <w:vertAlign w:val="baseline"/>
        </w:rPr>
        <w:footnoteRef/>
      </w:r>
      <w:r>
        <w:rPr>
          <w:rFonts w:hint="eastAsia"/>
          <w:sz w:val="18"/>
        </w:rPr>
        <w:t>　介護のための離職。高齢の親や家族を介護する必要が生じたことにより、今の仕事を辞めざるをえなくなること。</w:t>
      </w:r>
    </w:p>
  </w:footnote>
  <w:footnote w:id="5">
    <w:p>
      <w:pPr>
        <w:pStyle w:val="55"/>
        <w:rPr>
          <w:rFonts w:hint="default"/>
          <w:sz w:val="18"/>
        </w:rPr>
      </w:pPr>
      <w:r>
        <w:rPr>
          <w:rFonts w:hint="eastAsia"/>
          <w:sz w:val="18"/>
        </w:rPr>
        <w:t>※</w:t>
      </w:r>
      <w:r>
        <w:rPr>
          <w:rStyle w:val="42"/>
          <w:rFonts w:hint="eastAsia"/>
          <w:sz w:val="18"/>
          <w:vertAlign w:val="baseline"/>
        </w:rPr>
        <w:footnoteRef/>
      </w:r>
      <w:r>
        <w:rPr>
          <w:rFonts w:hint="eastAsia"/>
          <w:sz w:val="18"/>
        </w:rPr>
        <w:t>　</w:t>
      </w:r>
      <w:r>
        <w:rPr>
          <w:rFonts w:hint="eastAsia"/>
          <w:color w:val="000000" w:themeColor="text1"/>
          <w:sz w:val="18"/>
        </w:rPr>
        <w:t>本人が自らの意思を伝えられない状態になる前に備える治療計画。本人とその家族、医師・看護師・介護従事者が話し合いを通じて、本人の意思を反映した医療・ケアの開始・不開始・変更な</w:t>
      </w:r>
      <w:r>
        <w:rPr>
          <w:rFonts w:hint="eastAsia"/>
          <w:sz w:val="18"/>
        </w:rPr>
        <w:t>どを行う。</w:t>
      </w:r>
    </w:p>
  </w:footnote>
  <w:footnote w:id="6">
    <w:p>
      <w:pPr>
        <w:pStyle w:val="55"/>
        <w:rPr>
          <w:rFonts w:hint="default"/>
        </w:rPr>
      </w:pPr>
      <w:r>
        <w:rPr>
          <w:rFonts w:hint="eastAsia"/>
          <w:sz w:val="18"/>
        </w:rPr>
        <w:t>※</w:t>
      </w:r>
      <w:r>
        <w:rPr>
          <w:rStyle w:val="42"/>
          <w:rFonts w:hint="eastAsia"/>
          <w:sz w:val="18"/>
          <w:vertAlign w:val="baseline"/>
        </w:rPr>
        <w:footnoteRef/>
      </w:r>
      <w:r>
        <w:rPr>
          <w:rFonts w:hint="eastAsia"/>
          <w:sz w:val="18"/>
        </w:rPr>
        <w:t>　</w:t>
      </w:r>
      <w:r>
        <w:rPr>
          <w:rFonts w:hint="default"/>
          <w:color w:val="000000"/>
          <w:sz w:val="18"/>
        </w:rPr>
        <w:t>在宅医療を提供している医療機関と連携し、あらかじめ緊急時の入院先とする希望を届け出ていた患者の急変時などに</w:t>
      </w:r>
      <w:r>
        <w:rPr>
          <w:rFonts w:hint="default"/>
          <w:color w:val="000000"/>
          <w:sz w:val="18"/>
        </w:rPr>
        <w:t>24</w:t>
      </w:r>
      <w:r>
        <w:rPr>
          <w:rFonts w:hint="default"/>
          <w:color w:val="000000"/>
          <w:sz w:val="18"/>
        </w:rPr>
        <w:t>時間体制で対応し、必要があれば入院を受け入れる病院。</w:t>
      </w:r>
    </w:p>
  </w:footnote>
  <w:footnote w:id="7">
    <w:p>
      <w:pPr>
        <w:pStyle w:val="55"/>
        <w:rPr>
          <w:rFonts w:hint="default"/>
        </w:rPr>
      </w:pPr>
      <w:r>
        <w:rPr>
          <w:rFonts w:hint="eastAsia"/>
          <w:sz w:val="18"/>
        </w:rPr>
        <w:t>※</w:t>
      </w:r>
      <w:r>
        <w:rPr>
          <w:rStyle w:val="42"/>
          <w:rFonts w:hint="eastAsia"/>
          <w:sz w:val="18"/>
          <w:vertAlign w:val="baseline"/>
        </w:rPr>
        <w:footnoteRef/>
      </w:r>
      <w:r>
        <w:rPr>
          <w:rFonts w:hint="eastAsia"/>
          <w:sz w:val="18"/>
        </w:rPr>
        <w:t>　将来人口推計をもとに</w:t>
      </w:r>
      <w:r>
        <w:rPr>
          <w:rFonts w:hint="default"/>
          <w:sz w:val="18"/>
        </w:rPr>
        <w:t>2025</w:t>
      </w:r>
      <w:r>
        <w:rPr>
          <w:rFonts w:hint="default"/>
          <w:sz w:val="18"/>
        </w:rPr>
        <w:t>年に必要となる病床数（病床の必要量）を４つの医療機能</w:t>
      </w:r>
      <w:r>
        <w:rPr>
          <w:rFonts w:hint="eastAsia"/>
          <w:sz w:val="18"/>
        </w:rPr>
        <w:t>（高度急性期、急性期、回復期、慢性期）</w:t>
      </w:r>
      <w:r>
        <w:rPr>
          <w:rFonts w:hint="default"/>
          <w:sz w:val="18"/>
        </w:rPr>
        <w:t>ごとに推計した上で、地域の医療関係者の協議を通じて病床の機能分化と連携を進め、効率的な医療提供体制を実現する取組み</w:t>
      </w:r>
      <w:r>
        <w:rPr>
          <w:rFonts w:hint="eastAsia"/>
          <w:sz w:val="18"/>
        </w:rPr>
        <w:t>のこと。</w:t>
      </w:r>
    </w:p>
  </w:footnote>
  <w:footnote w:id="8">
    <w:p>
      <w:pPr>
        <w:pStyle w:val="55"/>
        <w:rPr>
          <w:rFonts w:hint="default"/>
        </w:rPr>
      </w:pPr>
      <w:r>
        <w:rPr>
          <w:rFonts w:hint="eastAsia"/>
          <w:sz w:val="18"/>
        </w:rPr>
        <w:t>※</w:t>
      </w:r>
      <w:r>
        <w:rPr>
          <w:rStyle w:val="42"/>
          <w:rFonts w:hint="eastAsia"/>
          <w:sz w:val="18"/>
          <w:vertAlign w:val="baseline"/>
        </w:rPr>
        <w:footnoteRef/>
      </w:r>
      <w:r>
        <w:rPr>
          <w:rFonts w:hint="eastAsia"/>
          <w:sz w:val="18"/>
        </w:rPr>
        <w:t>　一般病院における長期入院患者の増加に対応し、主として長期にわたり療養を必要とする患者を入院させるための療養環境を有する病床。</w:t>
      </w:r>
    </w:p>
  </w:footnote>
  <w:footnote w:id="9">
    <w:p>
      <w:pPr>
        <w:pStyle w:val="55"/>
        <w:rPr>
          <w:rFonts w:hint="default"/>
        </w:rPr>
      </w:pPr>
      <w:r>
        <w:rPr>
          <w:rFonts w:hint="eastAsia"/>
          <w:sz w:val="18"/>
        </w:rPr>
        <w:t>※</w:t>
      </w:r>
      <w:r>
        <w:rPr>
          <w:rStyle w:val="42"/>
          <w:rFonts w:hint="eastAsia"/>
          <w:sz w:val="18"/>
          <w:vertAlign w:val="baseline"/>
        </w:rPr>
        <w:footnoteRef/>
      </w:r>
      <w:r>
        <w:rPr>
          <w:rFonts w:hint="eastAsia"/>
          <w:sz w:val="18"/>
        </w:rPr>
        <w:t>　日本老年医学会が</w:t>
      </w:r>
      <w:r>
        <w:rPr>
          <w:rFonts w:hint="default"/>
          <w:sz w:val="18"/>
        </w:rPr>
        <w:t>2014</w:t>
      </w:r>
      <w:r>
        <w:rPr>
          <w:rFonts w:hint="default"/>
          <w:sz w:val="18"/>
        </w:rPr>
        <w:t>年に提唱した概念で、「</w:t>
      </w:r>
      <w:r>
        <w:rPr>
          <w:rFonts w:hint="default"/>
          <w:sz w:val="18"/>
        </w:rPr>
        <w:t>Frailty</w:t>
      </w:r>
      <w:r>
        <w:rPr>
          <w:rFonts w:hint="default"/>
          <w:sz w:val="18"/>
        </w:rPr>
        <w:t>（虚弱）」の日本語訳。健康な状態と要介護状態の中間に位置し、身体的機能や認知機能の低下が見られる状態のことを指すが、適切な治療や予防を行うことで要介護状態に進まずにすむ可能性があ</w:t>
      </w:r>
      <w:r>
        <w:rPr>
          <w:rFonts w:hint="eastAsia"/>
          <w:sz w:val="18"/>
        </w:rPr>
        <w:t>る</w:t>
      </w:r>
      <w:r>
        <w:rPr>
          <w:rFonts w:hint="default"/>
          <w:sz w:val="18"/>
        </w:rPr>
        <w:t>。</w:t>
      </w:r>
    </w:p>
  </w:footnote>
  <w:footnote w:id="10">
    <w:p>
      <w:pPr>
        <w:pStyle w:val="55"/>
        <w:rPr>
          <w:rFonts w:hint="default"/>
        </w:rPr>
      </w:pPr>
      <w:r>
        <w:rPr>
          <w:rFonts w:hint="eastAsia"/>
          <w:sz w:val="18"/>
        </w:rPr>
        <w:t>※</w:t>
      </w:r>
      <w:r>
        <w:rPr>
          <w:rStyle w:val="42"/>
          <w:rFonts w:hint="eastAsia"/>
          <w:sz w:val="18"/>
          <w:vertAlign w:val="baseline"/>
        </w:rPr>
        <w:footnoteRef/>
      </w:r>
      <w:r>
        <w:rPr>
          <w:rFonts w:hint="eastAsia"/>
          <w:sz w:val="18"/>
        </w:rPr>
        <w:t>　社会福祉の分野において、障害の有無や性別、年齢の違いなどによって区別をされることなく、主体的に、当たり前に、生活や権利の保障されたバリアフリーな環境を整えていく考えかたを意味する言葉。</w:t>
      </w:r>
    </w:p>
  </w:footnote>
  <w:footnote w:id="11">
    <w:p>
      <w:pPr>
        <w:pStyle w:val="55"/>
        <w:rPr>
          <w:rFonts w:hint="default"/>
        </w:rPr>
      </w:pPr>
      <w:r>
        <w:rPr>
          <w:rFonts w:hint="eastAsia"/>
          <w:sz w:val="18"/>
        </w:rPr>
        <w:t>※</w:t>
      </w:r>
      <w:r>
        <w:rPr>
          <w:rStyle w:val="42"/>
          <w:rFonts w:hint="eastAsia"/>
          <w:sz w:val="18"/>
          <w:vertAlign w:val="baseline"/>
        </w:rPr>
        <w:footnoteRef/>
      </w:r>
      <w:r>
        <w:rPr>
          <w:rFonts w:hint="default"/>
        </w:rPr>
        <w:t xml:space="preserve"> </w:t>
      </w:r>
      <w:r>
        <w:rPr>
          <w:rFonts w:hint="eastAsia"/>
          <w:sz w:val="18"/>
        </w:rPr>
        <w:t>口腔の機能低下や食べる機能の障害が連鎖し、心身の機能低下まで及ぶこと。</w:t>
      </w:r>
    </w:p>
  </w:footnote>
  <w:footnote w:id="12">
    <w:p>
      <w:pPr>
        <w:pStyle w:val="55"/>
        <w:rPr>
          <w:rFonts w:hint="default"/>
        </w:rPr>
      </w:pPr>
      <w:r>
        <w:rPr>
          <w:rFonts w:hint="eastAsia"/>
          <w:sz w:val="18"/>
        </w:rPr>
        <w:t>※</w:t>
      </w:r>
      <w:r>
        <w:rPr>
          <w:rStyle w:val="42"/>
          <w:rFonts w:hint="eastAsia"/>
          <w:sz w:val="18"/>
          <w:vertAlign w:val="baseline"/>
        </w:rPr>
        <w:footnoteRef/>
      </w:r>
      <w:r>
        <w:rPr>
          <w:rFonts w:hint="eastAsia"/>
          <w:sz w:val="18"/>
        </w:rPr>
        <w:t>　国保データベースシステムのことであり、国保連合会が保険者の委託を受けて行う各種業務を通じて管理する「特定健診・特定保健指導」、「医療（後期高齢者医療含む）」、「介護保険」等の情報を活用し、統計情報や「個人の健康に関する情報」を提供し、保険者の効率的かつ効果的な保健事業の実施をサポートすることを目的として構築されたシステムである。</w:t>
      </w:r>
    </w:p>
  </w:footnote>
  <w:footnote w:id="13">
    <w:p>
      <w:pPr>
        <w:pStyle w:val="55"/>
        <w:rPr>
          <w:rFonts w:hint="default"/>
        </w:rPr>
      </w:pPr>
      <w:r>
        <w:rPr>
          <w:rFonts w:hint="eastAsia"/>
          <w:sz w:val="18"/>
        </w:rPr>
        <w:t>※</w:t>
      </w:r>
      <w:r>
        <w:rPr>
          <w:rStyle w:val="42"/>
          <w:rFonts w:hint="eastAsia"/>
          <w:sz w:val="18"/>
          <w:vertAlign w:val="baseline"/>
        </w:rPr>
        <w:footnoteRef/>
      </w:r>
      <w:r>
        <w:rPr>
          <w:rFonts w:hint="eastAsia"/>
          <w:sz w:val="18"/>
        </w:rPr>
        <w:t>　インフォーマルケアともいい、自治体や専門機関など、フォーマル（正式）な制度に基づき提供される支援ではなく、家族や友人、地域住民、ボランティアなどによる、制度に基づかない非公式な支援のこと。</w:t>
      </w:r>
    </w:p>
  </w:footnote>
  <w:footnote w:id="14">
    <w:p>
      <w:pPr>
        <w:pStyle w:val="55"/>
        <w:rPr>
          <w:rFonts w:hint="default"/>
          <w:sz w:val="18"/>
        </w:rPr>
      </w:pPr>
      <w:r>
        <w:rPr>
          <w:rFonts w:hint="eastAsia"/>
          <w:sz w:val="18"/>
        </w:rPr>
        <w:t>※</w:t>
      </w:r>
      <w:r>
        <w:rPr>
          <w:rStyle w:val="42"/>
          <w:rFonts w:hint="eastAsia"/>
          <w:sz w:val="18"/>
          <w:vertAlign w:val="baseline"/>
        </w:rPr>
        <w:footnoteRef/>
      </w:r>
      <w:r>
        <w:rPr>
          <w:rFonts w:hint="eastAsia"/>
          <w:sz w:val="18"/>
        </w:rPr>
        <w:t>　身体介護を伴わず、介護職の人員基準などを緩和したサービス</w:t>
      </w:r>
    </w:p>
  </w:footnote>
  <w:footnote w:id="15">
    <w:p>
      <w:pPr>
        <w:pStyle w:val="55"/>
        <w:rPr>
          <w:rFonts w:hint="default"/>
        </w:rPr>
      </w:pPr>
      <w:r>
        <w:rPr>
          <w:rFonts w:hint="eastAsia"/>
          <w:sz w:val="18"/>
        </w:rPr>
        <w:t>※</w:t>
      </w:r>
      <w:r>
        <w:rPr>
          <w:rStyle w:val="42"/>
          <w:rFonts w:hint="eastAsia"/>
          <w:sz w:val="18"/>
          <w:vertAlign w:val="baseline"/>
        </w:rPr>
        <w:footnoteRef/>
      </w:r>
      <w:r>
        <w:rPr>
          <w:rFonts w:hint="eastAsia"/>
          <w:sz w:val="18"/>
        </w:rPr>
        <w:t>　生活困窮者自立支援法に基づき、生活保護に至る前の段階の自立支援策の強化を図るため、生活困窮者に対し、自立支援相談事業の実施、住居確保給付金の支給、その他の支援を行う事業。なお、「生活困窮者」とは、現に経済的に困窮し、最低限度の生活を維持することができなくなるおそれのある者。</w:t>
      </w:r>
    </w:p>
  </w:footnote>
  <w:footnote w:id="16">
    <w:p>
      <w:pPr>
        <w:pStyle w:val="55"/>
        <w:rPr>
          <w:rFonts w:hint="default"/>
        </w:rPr>
      </w:pPr>
      <w:r>
        <w:rPr>
          <w:rFonts w:hint="eastAsia"/>
          <w:sz w:val="18"/>
        </w:rPr>
        <w:t>※</w:t>
      </w:r>
      <w:r>
        <w:rPr>
          <w:rStyle w:val="42"/>
          <w:rFonts w:hint="eastAsia"/>
          <w:sz w:val="18"/>
          <w:vertAlign w:val="baseline"/>
        </w:rPr>
        <w:footnoteRef/>
      </w:r>
      <w:r>
        <w:rPr>
          <w:rStyle w:val="42"/>
          <w:rFonts w:hint="eastAsia"/>
          <w:sz w:val="18"/>
          <w:vertAlign w:val="baseline"/>
        </w:rPr>
        <w:t>　</w:t>
      </w:r>
      <w:r>
        <w:rPr>
          <w:rFonts w:hint="default"/>
          <w:sz w:val="18"/>
        </w:rPr>
        <w:t>物忘れが主たる症状だが、日常生活への影響はほとんどなく、認知症とは診断できない状態のことで、正常と認知症の中間ともいえる状態。記憶力に障害があって物忘れの自覚があるが、記憶力の低下以外に明らかな認知機能の障害がみられず、日常生活への影響はないかあっても軽度のものである場合。</w:t>
      </w:r>
      <w:r>
        <w:rPr>
          <w:rFonts w:hint="eastAsia"/>
          <w:sz w:val="18"/>
        </w:rPr>
        <w:t>ＭＣＩとは、「</w:t>
      </w:r>
      <w:r>
        <w:rPr>
          <w:rFonts w:hint="default"/>
          <w:sz w:val="18"/>
        </w:rPr>
        <w:t>Mild Cognitive Impairment</w:t>
      </w:r>
      <w:r>
        <w:rPr>
          <w:rFonts w:hint="default"/>
          <w:sz w:val="18"/>
        </w:rPr>
        <w:t>」の略。</w:t>
      </w:r>
    </w:p>
  </w:footnote>
  <w:footnote w:id="17">
    <w:p>
      <w:pPr>
        <w:pStyle w:val="55"/>
        <w:rPr>
          <w:rFonts w:hint="default"/>
        </w:rPr>
      </w:pPr>
      <w:r>
        <w:rPr>
          <w:rFonts w:hint="eastAsia"/>
          <w:sz w:val="18"/>
        </w:rPr>
        <w:t>※</w:t>
      </w:r>
      <w:r>
        <w:rPr>
          <w:rStyle w:val="42"/>
          <w:rFonts w:hint="eastAsia"/>
          <w:sz w:val="18"/>
          <w:vertAlign w:val="baseline"/>
        </w:rPr>
        <w:footnoteRef/>
      </w:r>
      <w:r>
        <w:rPr>
          <w:rFonts w:hint="eastAsia"/>
          <w:sz w:val="18"/>
        </w:rPr>
        <w:t>　認知症の状態に応じた適切なサービス提供の流れを示したもの。日常生活圏域において、認知症を有する高齢者等がどのような状態にあっても対応できるサービス基盤を構築し、的確なコーディネートがなされる体制をシステム化する地域環境を具体化するツール。</w:t>
      </w:r>
    </w:p>
  </w:footnote>
</w:footnote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rPr>
        <w:rFonts w:hint="default"/>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rPr>
        <w:rFonts w:hint="default"/>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rPr>
        <w:rFonts w:hint="default"/>
      </w:rPr>
    </w:pP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rPr>
        <w:rFonts w:hint="default"/>
      </w:rPr>
    </w:pP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header8.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30"/>
  <w:bordersDoNotSurroundHeader/>
  <w:bordersDoNotSurroundFooter/>
  <w:defaultTabStop w:val="840"/>
  <w:defaultTableStyle w:val="59"/>
  <w:drawingGridHorizont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42" type="connector" idref="#_x0000_s1183">
          <o:proxy start="" idref="#_x0000_s0" connectloc="-1"/>
          <o:proxy end="" idref="#_x0000_s0" connectloc="-1"/>
        </o:r>
        <o:r id="V:Rule148" type="connector" idref="#_x0000_s1138">
          <o:proxy start="" idref="#_x0000_s0" connectloc="-1"/>
          <o:proxy end="" idref="#_x0000_s0" connectloc="-1"/>
        </o:r>
        <o:r id="V:Rule174" type="connector" idref="#_x0000_s1197">
          <o:proxy start="" idref="#_x0000_s0" connectloc="-1"/>
          <o:proxy end="" idref="#_x0000_s0" connectloc="-1"/>
        </o:r>
        <o:r id="V:Rule242" type="connector" idref="#_x0000_s1174">
          <o:proxy start="" idref="#_x0000_s0" connectloc="-1"/>
          <o:proxy end="" idref="#_x0000_s0" connectloc="-1"/>
        </o:r>
        <o:r id="V:Rule462" type="connector" idref="#_x0000_s1204">
          <o:proxy start="" idref="#_x0000_s0" connectloc="-1"/>
          <o:proxy end="" idref="#_x0000_s0" connectloc="-1"/>
        </o:r>
        <o:r id="V:Rule540" type="connector" idref="#_x0000_s113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kern w:val="2"/>
        <w:sz w:val="24"/>
      </w:rPr>
    </w:rPrDefault>
  </w:docDefaults>
  <w:style w:type="paragraph" w:styleId="0" w:default="1">
    <w:name w:val="Normal"/>
    <w:next w:val="0"/>
    <w:link w:val="0"/>
    <w:uiPriority w:val="0"/>
    <w:qFormat/>
    <w:rPr/>
  </w:style>
  <w:style w:type="paragraph" w:styleId="1">
    <w:name w:val="heading 1"/>
    <w:basedOn w:val="0"/>
    <w:next w:val="0"/>
    <w:link w:val="15"/>
    <w:uiPriority w:val="0"/>
    <w:qFormat/>
    <w:pPr>
      <w:keepNext w:val="1"/>
      <w:outlineLvl w:val="0"/>
    </w:pPr>
    <w:rPr>
      <w:rFonts w:asciiTheme="majorHAnsi" w:hAnsiTheme="majorHAnsi" w:eastAsiaTheme="majorEastAsia"/>
    </w:rPr>
  </w:style>
  <w:style w:type="paragraph" w:styleId="2">
    <w:name w:val="heading 2"/>
    <w:basedOn w:val="0"/>
    <w:next w:val="0"/>
    <w:link w:val="16"/>
    <w:uiPriority w:val="0"/>
    <w:qFormat/>
    <w:pPr>
      <w:keepNext w:val="1"/>
      <w:outlineLvl w:val="1"/>
    </w:pPr>
    <w:rPr>
      <w:rFonts w:asciiTheme="majorHAnsi" w:hAnsiTheme="majorHAnsi" w:eastAsiaTheme="majorEastAsia"/>
    </w:rPr>
  </w:style>
  <w:style w:type="paragraph" w:styleId="3">
    <w:name w:val="heading 3"/>
    <w:basedOn w:val="0"/>
    <w:next w:val="0"/>
    <w:link w:val="17"/>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18"/>
    <w:uiPriority w:val="0"/>
    <w:qFormat/>
    <w:pPr>
      <w:keepNext w:val="1"/>
      <w:ind w:left="400" w:leftChars="400"/>
      <w:outlineLvl w:val="3"/>
    </w:pPr>
    <w:rPr>
      <w:b w:val="1"/>
    </w:rPr>
  </w:style>
  <w:style w:type="paragraph" w:styleId="5">
    <w:name w:val="heading 5"/>
    <w:basedOn w:val="0"/>
    <w:next w:val="0"/>
    <w:link w:val="19"/>
    <w:uiPriority w:val="0"/>
    <w:qFormat/>
    <w:pPr>
      <w:keepNext w:val="1"/>
      <w:ind w:left="800" w:leftChars="800"/>
      <w:outlineLvl w:val="4"/>
    </w:pPr>
    <w:rPr>
      <w:rFonts w:asciiTheme="majorHAnsi" w:hAnsiTheme="majorHAnsi" w:eastAsiaTheme="majorEastAsia"/>
    </w:rPr>
  </w:style>
  <w:style w:type="paragraph" w:styleId="6">
    <w:name w:val="heading 6"/>
    <w:basedOn w:val="0"/>
    <w:next w:val="0"/>
    <w:link w:val="20"/>
    <w:uiPriority w:val="0"/>
    <w:qFormat/>
    <w:pPr>
      <w:keepNext w:val="1"/>
      <w:ind w:left="800" w:leftChars="800"/>
      <w:outlineLvl w:val="5"/>
    </w:pPr>
    <w:rPr>
      <w:b w:val="1"/>
    </w:rPr>
  </w:style>
  <w:style w:type="paragraph" w:styleId="7">
    <w:name w:val="heading 7"/>
    <w:basedOn w:val="0"/>
    <w:next w:val="0"/>
    <w:link w:val="21"/>
    <w:uiPriority w:val="0"/>
    <w:qFormat/>
    <w:pPr>
      <w:keepNext w:val="1"/>
      <w:ind w:left="800" w:leftChars="800"/>
      <w:outlineLvl w:val="6"/>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Theme="majorHAnsi" w:hAnsiTheme="majorHAnsi" w:eastAsiaTheme="majorEastAsia"/>
      <w:sz w:val="24"/>
    </w:rPr>
  </w:style>
  <w:style w:type="character" w:styleId="16" w:customStyle="1">
    <w:name w:val="見出し 2 (文字)"/>
    <w:basedOn w:val="10"/>
    <w:next w:val="16"/>
    <w:link w:val="2"/>
    <w:uiPriority w:val="0"/>
    <w:rPr>
      <w:rFonts w:asciiTheme="majorHAnsi" w:hAnsiTheme="majorHAnsi" w:eastAsiaTheme="majorEastAsia"/>
    </w:rPr>
  </w:style>
  <w:style w:type="character" w:styleId="17" w:customStyle="1">
    <w:name w:val="見出し 3 (文字)"/>
    <w:basedOn w:val="10"/>
    <w:next w:val="17"/>
    <w:link w:val="3"/>
    <w:uiPriority w:val="0"/>
    <w:rPr>
      <w:rFonts w:asciiTheme="majorHAnsi" w:hAnsiTheme="majorHAnsi" w:eastAsiaTheme="majorEastAsia"/>
    </w:rPr>
  </w:style>
  <w:style w:type="character" w:styleId="18" w:customStyle="1">
    <w:name w:val="見出し 4 (文字)"/>
    <w:basedOn w:val="10"/>
    <w:next w:val="18"/>
    <w:link w:val="4"/>
    <w:uiPriority w:val="0"/>
    <w:rPr>
      <w:b w:val="1"/>
    </w:rPr>
  </w:style>
  <w:style w:type="character" w:styleId="19" w:customStyle="1">
    <w:name w:val="見出し 5 (文字)"/>
    <w:basedOn w:val="10"/>
    <w:next w:val="19"/>
    <w:link w:val="5"/>
    <w:uiPriority w:val="0"/>
    <w:rPr>
      <w:rFonts w:asciiTheme="majorHAnsi" w:hAnsiTheme="majorHAnsi" w:eastAsiaTheme="majorEastAsia"/>
    </w:rPr>
  </w:style>
  <w:style w:type="character" w:styleId="20" w:customStyle="1">
    <w:name w:val="見出し 6 (文字)"/>
    <w:basedOn w:val="10"/>
    <w:next w:val="20"/>
    <w:link w:val="6"/>
    <w:uiPriority w:val="0"/>
    <w:rPr>
      <w:b w:val="1"/>
    </w:rPr>
  </w:style>
  <w:style w:type="character" w:styleId="21" w:customStyle="1">
    <w:name w:val="見出し 7 (文字)"/>
    <w:basedOn w:val="10"/>
    <w:next w:val="21"/>
    <w:link w:val="7"/>
    <w:uiPriority w:val="0"/>
  </w:style>
  <w:style w:type="paragraph" w:styleId="22">
    <w:name w:val="header"/>
    <w:basedOn w:val="0"/>
    <w:next w:val="22"/>
    <w:link w:val="23"/>
    <w:uiPriority w:val="0"/>
    <w:pPr>
      <w:tabs>
        <w:tab w:val="center" w:leader="none" w:pos="4252"/>
        <w:tab w:val="right" w:leader="none" w:pos="8504"/>
      </w:tabs>
      <w:snapToGrid w:val="0"/>
    </w:pPr>
  </w:style>
  <w:style w:type="character" w:styleId="23" w:customStyle="1">
    <w:name w:val="ヘッダー (文字)"/>
    <w:basedOn w:val="10"/>
    <w:next w:val="23"/>
    <w:link w:val="22"/>
    <w:uiPriority w:val="0"/>
    <w:rPr>
      <w:sz w:val="24"/>
    </w:rPr>
  </w:style>
  <w:style w:type="paragraph" w:styleId="24">
    <w:name w:val="footer"/>
    <w:basedOn w:val="0"/>
    <w:next w:val="24"/>
    <w:link w:val="25"/>
    <w:uiPriority w:val="0"/>
    <w:pPr>
      <w:tabs>
        <w:tab w:val="center" w:leader="none" w:pos="4252"/>
        <w:tab w:val="right" w:leader="none" w:pos="8504"/>
      </w:tabs>
      <w:snapToGrid w:val="0"/>
    </w:pPr>
  </w:style>
  <w:style w:type="character" w:styleId="25" w:customStyle="1">
    <w:name w:val="フッター (文字)"/>
    <w:basedOn w:val="10"/>
    <w:next w:val="25"/>
    <w:link w:val="24"/>
    <w:uiPriority w:val="0"/>
    <w:rPr>
      <w:sz w:val="24"/>
    </w:rPr>
  </w:style>
  <w:style w:type="paragraph" w:styleId="26">
    <w:name w:val="toc 1"/>
    <w:basedOn w:val="0"/>
    <w:next w:val="0"/>
    <w:link w:val="0"/>
    <w:uiPriority w:val="0"/>
  </w:style>
  <w:style w:type="paragraph" w:styleId="27">
    <w:name w:val="toc 2"/>
    <w:basedOn w:val="0"/>
    <w:next w:val="0"/>
    <w:link w:val="0"/>
    <w:uiPriority w:val="0"/>
    <w:pPr>
      <w:ind w:left="210" w:leftChars="100"/>
    </w:pPr>
  </w:style>
  <w:style w:type="character" w:styleId="28">
    <w:name w:val="Hyperlink"/>
    <w:basedOn w:val="10"/>
    <w:next w:val="28"/>
    <w:link w:val="0"/>
    <w:uiPriority w:val="0"/>
    <w:rPr>
      <w:color w:val="0563C1" w:themeColor="hyperlink"/>
      <w:u w:val="single" w:color="auto"/>
    </w:rPr>
  </w:style>
  <w:style w:type="paragraph" w:styleId="29">
    <w:name w:val="toc 3"/>
    <w:basedOn w:val="0"/>
    <w:next w:val="0"/>
    <w:link w:val="0"/>
    <w:uiPriority w:val="0"/>
    <w:pPr>
      <w:ind w:left="420" w:leftChars="200"/>
    </w:pPr>
  </w:style>
  <w:style w:type="paragraph" w:styleId="30">
    <w:name w:val="Balloon Text"/>
    <w:basedOn w:val="0"/>
    <w:next w:val="30"/>
    <w:link w:val="31"/>
    <w:uiPriority w:val="0"/>
    <w:semiHidden/>
    <w:rPr>
      <w:rFonts w:asciiTheme="majorHAnsi" w:hAnsiTheme="majorHAnsi" w:eastAsiaTheme="majorEastAsia"/>
      <w:sz w:val="18"/>
    </w:rPr>
  </w:style>
  <w:style w:type="character" w:styleId="31" w:customStyle="1">
    <w:name w:val="吹き出し (文字)"/>
    <w:basedOn w:val="10"/>
    <w:next w:val="31"/>
    <w:link w:val="30"/>
    <w:uiPriority w:val="0"/>
    <w:rPr>
      <w:rFonts w:asciiTheme="majorHAnsi" w:hAnsiTheme="majorHAnsi" w:eastAsiaTheme="majorEastAsia"/>
      <w:sz w:val="18"/>
    </w:rPr>
  </w:style>
  <w:style w:type="character" w:styleId="32">
    <w:name w:val="annotation reference"/>
    <w:basedOn w:val="10"/>
    <w:next w:val="32"/>
    <w:link w:val="0"/>
    <w:uiPriority w:val="0"/>
    <w:semiHidden/>
    <w:rPr>
      <w:sz w:val="18"/>
    </w:rPr>
  </w:style>
  <w:style w:type="paragraph" w:styleId="33">
    <w:name w:val="annotation text"/>
    <w:basedOn w:val="0"/>
    <w:next w:val="33"/>
    <w:link w:val="34"/>
    <w:uiPriority w:val="0"/>
    <w:semiHidden/>
  </w:style>
  <w:style w:type="character" w:styleId="34" w:customStyle="1">
    <w:name w:val="コメント文字列 (文字)"/>
    <w:basedOn w:val="10"/>
    <w:next w:val="34"/>
    <w:link w:val="33"/>
    <w:uiPriority w:val="0"/>
  </w:style>
  <w:style w:type="paragraph" w:styleId="35">
    <w:name w:val="annotation subject"/>
    <w:basedOn w:val="33"/>
    <w:next w:val="33"/>
    <w:link w:val="36"/>
    <w:uiPriority w:val="0"/>
    <w:semiHidden/>
    <w:rPr>
      <w:b w:val="1"/>
    </w:rPr>
  </w:style>
  <w:style w:type="character" w:styleId="36" w:customStyle="1">
    <w:name w:val="コメント内容 (文字)"/>
    <w:basedOn w:val="34"/>
    <w:next w:val="36"/>
    <w:link w:val="35"/>
    <w:uiPriority w:val="0"/>
    <w:rPr>
      <w:b w:val="1"/>
    </w:rPr>
  </w:style>
  <w:style w:type="paragraph" w:styleId="37">
    <w:name w:val="toc 4"/>
    <w:basedOn w:val="0"/>
    <w:next w:val="0"/>
    <w:link w:val="0"/>
    <w:uiPriority w:val="0"/>
    <w:pPr>
      <w:tabs>
        <w:tab w:val="right" w:leader="middleDot" w:pos="8494"/>
      </w:tabs>
      <w:ind w:left="720" w:leftChars="300"/>
    </w:pPr>
  </w:style>
  <w:style w:type="paragraph" w:styleId="38" w:customStyle="1">
    <w:name w:val="標準３"/>
    <w:basedOn w:val="0"/>
    <w:next w:val="38"/>
    <w:link w:val="0"/>
    <w:uiPriority w:val="0"/>
    <w:qFormat/>
    <w:pPr>
      <w:widowControl w:val="0"/>
      <w:autoSpaceDE w:val="0"/>
      <w:autoSpaceDN w:val="0"/>
      <w:ind w:left="200" w:leftChars="200"/>
    </w:pPr>
    <w:rPr>
      <w:b w:val="1"/>
      <w:sz w:val="21"/>
    </w:rPr>
  </w:style>
  <w:style w:type="paragraph" w:styleId="39">
    <w:name w:val="toc 5"/>
    <w:basedOn w:val="0"/>
    <w:next w:val="0"/>
    <w:link w:val="0"/>
    <w:uiPriority w:val="0"/>
    <w:pPr>
      <w:ind w:left="960" w:leftChars="400"/>
    </w:pPr>
  </w:style>
  <w:style w:type="paragraph" w:styleId="40" w:customStyle="1">
    <w:name w:val="文言1"/>
    <w:basedOn w:val="0"/>
    <w:next w:val="40"/>
    <w:link w:val="41"/>
    <w:uiPriority w:val="0"/>
    <w:qFormat/>
    <w:pPr>
      <w:widowControl w:val="0"/>
      <w:autoSpaceDE w:val="0"/>
      <w:autoSpaceDN w:val="0"/>
      <w:ind w:left="220" w:leftChars="100" w:firstLine="220" w:firstLineChars="100"/>
      <w:jc w:val="both"/>
    </w:pPr>
    <w:rPr>
      <w:sz w:val="22"/>
    </w:rPr>
  </w:style>
  <w:style w:type="character" w:styleId="41" w:customStyle="1">
    <w:name w:val="文言1 (文字)"/>
    <w:basedOn w:val="10"/>
    <w:next w:val="41"/>
    <w:link w:val="40"/>
    <w:uiPriority w:val="0"/>
    <w:rPr>
      <w:sz w:val="22"/>
    </w:rPr>
  </w:style>
  <w:style w:type="character" w:styleId="42">
    <w:name w:val="footnote reference"/>
    <w:basedOn w:val="10"/>
    <w:next w:val="42"/>
    <w:link w:val="0"/>
    <w:uiPriority w:val="0"/>
    <w:semiHidden/>
    <w:rPr>
      <w:vertAlign w:val="superscript"/>
    </w:rPr>
  </w:style>
  <w:style w:type="character" w:styleId="43">
    <w:name w:val="endnote reference"/>
    <w:basedOn w:val="10"/>
    <w:next w:val="43"/>
    <w:link w:val="0"/>
    <w:uiPriority w:val="0"/>
    <w:semiHidden/>
    <w:rPr>
      <w:vertAlign w:val="superscript"/>
    </w:rPr>
  </w:style>
  <w:style w:type="paragraph" w:styleId="44" w:customStyle="1">
    <w:name w:val="標準２"/>
    <w:basedOn w:val="0"/>
    <w:next w:val="44"/>
    <w:link w:val="0"/>
    <w:uiPriority w:val="0"/>
    <w:qFormat/>
    <w:pPr>
      <w:widowControl w:val="0"/>
      <w:autoSpaceDE w:val="0"/>
      <w:autoSpaceDN w:val="0"/>
      <w:ind w:left="100" w:leftChars="100" w:hanging="386" w:hangingChars="386"/>
      <w:jc w:val="both"/>
    </w:pPr>
    <w:rPr>
      <w:b w:val="1"/>
      <w:sz w:val="21"/>
    </w:rPr>
  </w:style>
  <w:style w:type="paragraph" w:styleId="45">
    <w:name w:val="List Paragraph"/>
    <w:basedOn w:val="0"/>
    <w:next w:val="45"/>
    <w:link w:val="0"/>
    <w:uiPriority w:val="0"/>
    <w:qFormat/>
    <w:pPr>
      <w:ind w:left="840" w:leftChars="400"/>
    </w:pPr>
  </w:style>
  <w:style w:type="paragraph" w:styleId="46">
    <w:name w:val="Normal (Web)"/>
    <w:basedOn w:val="0"/>
    <w:next w:val="46"/>
    <w:link w:val="0"/>
    <w:uiPriority w:val="0"/>
    <w:qFormat/>
    <w:pPr>
      <w:widowControl w:val="0"/>
      <w:spacing w:before="100" w:beforeLines="0" w:beforeAutospacing="1" w:after="100" w:afterLines="0" w:afterAutospacing="1"/>
      <w:jc w:val="both"/>
    </w:pPr>
    <w:rPr>
      <w:rFonts w:ascii="ＭＳ Ｐゴシック" w:hAnsi="ＭＳ Ｐゴシック" w:eastAsia="ＭＳ Ｐゴシック"/>
      <w:kern w:val="0"/>
    </w:rPr>
  </w:style>
  <w:style w:type="paragraph" w:styleId="47">
    <w:name w:val="toc 7"/>
    <w:basedOn w:val="0"/>
    <w:next w:val="0"/>
    <w:link w:val="0"/>
    <w:uiPriority w:val="0"/>
    <w:pPr>
      <w:widowControl w:val="0"/>
      <w:ind w:left="1260" w:leftChars="600"/>
      <w:jc w:val="both"/>
    </w:pPr>
    <w:rPr>
      <w:rFonts w:asciiTheme="minorHAnsi" w:hAnsiTheme="minorHAnsi" w:eastAsiaTheme="minorEastAsia"/>
      <w:sz w:val="21"/>
    </w:rPr>
  </w:style>
  <w:style w:type="paragraph" w:styleId="48">
    <w:name w:val="toc 6"/>
    <w:basedOn w:val="0"/>
    <w:next w:val="0"/>
    <w:link w:val="0"/>
    <w:uiPriority w:val="0"/>
    <w:pPr>
      <w:widowControl w:val="0"/>
      <w:ind w:left="1050" w:leftChars="500"/>
      <w:jc w:val="both"/>
    </w:pPr>
    <w:rPr>
      <w:rFonts w:asciiTheme="minorHAnsi" w:hAnsiTheme="minorHAnsi" w:eastAsiaTheme="minorEastAsia"/>
      <w:sz w:val="21"/>
    </w:rPr>
  </w:style>
  <w:style w:type="paragraph" w:styleId="49">
    <w:name w:val="toc 8"/>
    <w:basedOn w:val="0"/>
    <w:next w:val="0"/>
    <w:link w:val="0"/>
    <w:uiPriority w:val="0"/>
    <w:pPr>
      <w:widowControl w:val="0"/>
      <w:ind w:left="1470" w:leftChars="700"/>
      <w:jc w:val="both"/>
    </w:pPr>
    <w:rPr>
      <w:rFonts w:asciiTheme="minorHAnsi" w:hAnsiTheme="minorHAnsi" w:eastAsiaTheme="minorEastAsia"/>
      <w:sz w:val="21"/>
    </w:rPr>
  </w:style>
  <w:style w:type="paragraph" w:styleId="50">
    <w:name w:val="toc 9"/>
    <w:basedOn w:val="0"/>
    <w:next w:val="0"/>
    <w:link w:val="0"/>
    <w:uiPriority w:val="0"/>
    <w:pPr>
      <w:widowControl w:val="0"/>
      <w:ind w:left="1680" w:leftChars="800"/>
      <w:jc w:val="both"/>
    </w:pPr>
    <w:rPr>
      <w:rFonts w:asciiTheme="minorHAnsi" w:hAnsiTheme="minorHAnsi" w:eastAsiaTheme="minorEastAsia"/>
      <w:sz w:val="21"/>
    </w:rPr>
  </w:style>
  <w:style w:type="character" w:styleId="51" w:customStyle="1">
    <w:name w:val="未解決のメンション1"/>
    <w:basedOn w:val="10"/>
    <w:next w:val="51"/>
    <w:link w:val="0"/>
    <w:uiPriority w:val="0"/>
    <w:rPr>
      <w:color w:val="605E5C"/>
      <w:shd w:val="clear" w:color="auto" w:fill="E1DFDD"/>
    </w:rPr>
  </w:style>
  <w:style w:type="paragraph" w:styleId="52">
    <w:name w:val="Date"/>
    <w:basedOn w:val="0"/>
    <w:next w:val="0"/>
    <w:link w:val="53"/>
    <w:uiPriority w:val="0"/>
  </w:style>
  <w:style w:type="character" w:styleId="53" w:customStyle="1">
    <w:name w:val="日付 (文字)"/>
    <w:basedOn w:val="10"/>
    <w:next w:val="53"/>
    <w:link w:val="52"/>
    <w:uiPriority w:val="0"/>
  </w:style>
  <w:style w:type="character" w:styleId="54" w:customStyle="1">
    <w:name w:val="mainarea_h2"/>
    <w:basedOn w:val="10"/>
    <w:next w:val="54"/>
    <w:link w:val="0"/>
    <w:uiPriority w:val="0"/>
    <w:qFormat/>
    <w:rPr>
      <w:sz w:val="30"/>
    </w:rPr>
  </w:style>
  <w:style w:type="paragraph" w:styleId="55">
    <w:name w:val="footnote text"/>
    <w:basedOn w:val="0"/>
    <w:next w:val="55"/>
    <w:link w:val="56"/>
    <w:uiPriority w:val="0"/>
    <w:semiHidden/>
    <w:pPr>
      <w:snapToGrid w:val="0"/>
    </w:pPr>
  </w:style>
  <w:style w:type="character" w:styleId="56" w:customStyle="1">
    <w:name w:val="脚注文字列 (文字)"/>
    <w:basedOn w:val="10"/>
    <w:next w:val="56"/>
    <w:link w:val="55"/>
    <w:uiPriority w:val="0"/>
  </w:style>
  <w:style w:type="paragraph" w:styleId="57">
    <w:name w:val="endnote text"/>
    <w:basedOn w:val="0"/>
    <w:next w:val="57"/>
    <w:link w:val="58"/>
    <w:uiPriority w:val="0"/>
    <w:semiHidden/>
    <w:pPr>
      <w:snapToGrid w:val="0"/>
    </w:pPr>
  </w:style>
  <w:style w:type="character" w:styleId="58" w:customStyle="1">
    <w:name w:val="文末脚注文字列 (文字)"/>
    <w:basedOn w:val="10"/>
    <w:next w:val="58"/>
    <w:link w:val="57"/>
    <w:uiPriority w:val="0"/>
  </w:style>
  <w:style w:type="table" w:styleId="59" w:customStyle="1">
    <w:name w:val="表（シンプル 1）"/>
    <w:basedOn w:val="11"/>
    <w:next w:val="59"/>
    <w:link w:val="0"/>
    <w:uiPriority w:val="0"/>
    <w:rPr>
      <w:rFonts w:asciiTheme="minorHAnsi" w:hAnsiTheme="minorHAnsi" w:eastAsiaTheme="minorEastAsia"/>
      <w:sz w:val="21"/>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0">
    <w:name w:val="Table Grid"/>
    <w:basedOn w:val="11"/>
    <w:next w:val="60"/>
    <w:link w:val="0"/>
    <w:uiPriority w:val="0"/>
    <w:rPr>
      <w:rFonts w:asciiTheme="minorHAnsi" w:hAnsiTheme="minorHAnsi" w:eastAsiaTheme="minorEastAsia"/>
      <w:sz w:val="21"/>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footer" Target="footer2.xml"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2.xml" /><Relationship Id="rId13" Type="http://schemas.openxmlformats.org/officeDocument/2006/relationships/image" Target="media/image5.png" /><Relationship Id="rId14" Type="http://schemas.openxmlformats.org/officeDocument/2006/relationships/image" Target="media/image6.emf" /><Relationship Id="rId15" Type="http://schemas.openxmlformats.org/officeDocument/2006/relationships/image" Target="media/image7.emf" /><Relationship Id="rId16" Type="http://schemas.openxmlformats.org/officeDocument/2006/relationships/image" Target="media/image8.emf" /><Relationship Id="rId17" Type="http://schemas.openxmlformats.org/officeDocument/2006/relationships/image" Target="media/image9.emf" /><Relationship Id="rId18" Type="http://schemas.openxmlformats.org/officeDocument/2006/relationships/image" Target="media/image10.emf" /><Relationship Id="rId19" Type="http://schemas.openxmlformats.org/officeDocument/2006/relationships/image" Target="media/image11.emf" /><Relationship Id="rId20" Type="http://schemas.openxmlformats.org/officeDocument/2006/relationships/image" Target="media/image12.emf" /><Relationship Id="rId21" Type="http://schemas.openxmlformats.org/officeDocument/2006/relationships/image" Target="media/image13.emf" /><Relationship Id="rId22" Type="http://schemas.openxmlformats.org/officeDocument/2006/relationships/image" Target="media/image14.emf" /><Relationship Id="rId23" Type="http://schemas.openxmlformats.org/officeDocument/2006/relationships/image" Target="media/image15.emf" /><Relationship Id="rId24" Type="http://schemas.openxmlformats.org/officeDocument/2006/relationships/image" Target="media/image16.emf" /><Relationship Id="rId25" Type="http://schemas.openxmlformats.org/officeDocument/2006/relationships/image" Target="media/image17.emf" /><Relationship Id="rId26" Type="http://schemas.openxmlformats.org/officeDocument/2006/relationships/image" Target="media/image18.png" /><Relationship Id="rId27" Type="http://schemas.openxmlformats.org/officeDocument/2006/relationships/image" Target="media/image19.emf" /><Relationship Id="rId28" Type="http://schemas.openxmlformats.org/officeDocument/2006/relationships/image" Target="media/image20.emf" /><Relationship Id="rId29" Type="http://schemas.openxmlformats.org/officeDocument/2006/relationships/image" Target="media/image21.emf" /><Relationship Id="rId30" Type="http://schemas.openxmlformats.org/officeDocument/2006/relationships/image" Target="media/image22.emf" /><Relationship Id="rId31" Type="http://schemas.openxmlformats.org/officeDocument/2006/relationships/image" Target="media/image23.emf" /><Relationship Id="rId32" Type="http://schemas.openxmlformats.org/officeDocument/2006/relationships/image" Target="media/image24.emf" /><Relationship Id="rId33" Type="http://schemas.openxmlformats.org/officeDocument/2006/relationships/image" Target="media/image25.emf" /><Relationship Id="rId34" Type="http://schemas.openxmlformats.org/officeDocument/2006/relationships/image" Target="media/image26.emf" /><Relationship Id="rId35" Type="http://schemas.openxmlformats.org/officeDocument/2006/relationships/image" Target="media/image27.emf" /><Relationship Id="rId36" Type="http://schemas.openxmlformats.org/officeDocument/2006/relationships/image" Target="media/image28.emf" /><Relationship Id="rId37" Type="http://schemas.openxmlformats.org/officeDocument/2006/relationships/image" Target="media/image29.emf" /><Relationship Id="rId38" Type="http://schemas.openxmlformats.org/officeDocument/2006/relationships/image" Target="media/image30.emf" /><Relationship Id="rId39" Type="http://schemas.openxmlformats.org/officeDocument/2006/relationships/image" Target="media/image31.emf" /><Relationship Id="rId40" Type="http://schemas.openxmlformats.org/officeDocument/2006/relationships/image" Target="media/image32.emf" /><Relationship Id="rId41" Type="http://schemas.openxmlformats.org/officeDocument/2006/relationships/image" Target="media/image33.emf" /><Relationship Id="rId42" Type="http://schemas.openxmlformats.org/officeDocument/2006/relationships/image" Target="media/image34.emf" /><Relationship Id="rId43" Type="http://schemas.openxmlformats.org/officeDocument/2006/relationships/image" Target="media/image35.emf" /><Relationship Id="rId44" Type="http://schemas.openxmlformats.org/officeDocument/2006/relationships/image" Target="media/image36.emf" /><Relationship Id="rId45" Type="http://schemas.openxmlformats.org/officeDocument/2006/relationships/image" Target="media/image37.emf" /><Relationship Id="rId46" Type="http://schemas.openxmlformats.org/officeDocument/2006/relationships/image" Target="media/image38.emf" /><Relationship Id="rId47" Type="http://schemas.openxmlformats.org/officeDocument/2006/relationships/image" Target="media/image39.emf" /><Relationship Id="rId48" Type="http://schemas.openxmlformats.org/officeDocument/2006/relationships/image" Target="media/image40.emf" /><Relationship Id="rId49" Type="http://schemas.openxmlformats.org/officeDocument/2006/relationships/image" Target="media/image41.emf" /><Relationship Id="rId50" Type="http://schemas.openxmlformats.org/officeDocument/2006/relationships/image" Target="media/image42.emf" /><Relationship Id="rId51" Type="http://schemas.openxmlformats.org/officeDocument/2006/relationships/image" Target="media/image43.emf" /><Relationship Id="rId52" Type="http://schemas.openxmlformats.org/officeDocument/2006/relationships/image" Target="media/image44.emf" /><Relationship Id="rId53" Type="http://schemas.openxmlformats.org/officeDocument/2006/relationships/image" Target="media/image45.emf" /><Relationship Id="rId54" Type="http://schemas.openxmlformats.org/officeDocument/2006/relationships/image" Target="media/image46.emf" /><Relationship Id="rId55" Type="http://schemas.openxmlformats.org/officeDocument/2006/relationships/image" Target="media/image47.emf" /><Relationship Id="rId56" Type="http://schemas.openxmlformats.org/officeDocument/2006/relationships/image" Target="media/image48.emf" /><Relationship Id="rId57" Type="http://schemas.openxmlformats.org/officeDocument/2006/relationships/image" Target="media/image49.emf" /><Relationship Id="rId58" Type="http://schemas.openxmlformats.org/officeDocument/2006/relationships/image" Target="media/image50.emf" /><Relationship Id="rId59" Type="http://schemas.openxmlformats.org/officeDocument/2006/relationships/image" Target="media/image51.emf" /><Relationship Id="rId60" Type="http://schemas.openxmlformats.org/officeDocument/2006/relationships/image" Target="media/image52.emf" /><Relationship Id="rId61" Type="http://schemas.openxmlformats.org/officeDocument/2006/relationships/image" Target="media/image53.emf" /><Relationship Id="rId62" Type="http://schemas.openxmlformats.org/officeDocument/2006/relationships/image" Target="media/image54.emf" /><Relationship Id="rId63" Type="http://schemas.openxmlformats.org/officeDocument/2006/relationships/image" Target="media/image55.emf" /><Relationship Id="rId64" Type="http://schemas.openxmlformats.org/officeDocument/2006/relationships/image" Target="media/image56.emf" /><Relationship Id="rId65" Type="http://schemas.openxmlformats.org/officeDocument/2006/relationships/image" Target="media/image57.emf" /><Relationship Id="rId66" Type="http://schemas.openxmlformats.org/officeDocument/2006/relationships/image" Target="media/image58.emf" /><Relationship Id="rId67" Type="http://schemas.openxmlformats.org/officeDocument/2006/relationships/image" Target="media/image59.emf" /><Relationship Id="rId68" Type="http://schemas.openxmlformats.org/officeDocument/2006/relationships/image" Target="media/image60.emf" /><Relationship Id="rId69" Type="http://schemas.openxmlformats.org/officeDocument/2006/relationships/image" Target="media/image61.emf" /><Relationship Id="rId70" Type="http://schemas.openxmlformats.org/officeDocument/2006/relationships/image" Target="media/image62.emf" /><Relationship Id="rId71" Type="http://schemas.openxmlformats.org/officeDocument/2006/relationships/image" Target="media/image63.emf" /><Relationship Id="rId72" Type="http://schemas.openxmlformats.org/officeDocument/2006/relationships/image" Target="media/image64.emf" /><Relationship Id="rId73" Type="http://schemas.openxmlformats.org/officeDocument/2006/relationships/image" Target="media/image65.emf" /><Relationship Id="rId74" Type="http://schemas.openxmlformats.org/officeDocument/2006/relationships/image" Target="media/image66.emf" /><Relationship Id="rId75" Type="http://schemas.openxmlformats.org/officeDocument/2006/relationships/image" Target="media/image67.emf" /><Relationship Id="rId76" Type="http://schemas.openxmlformats.org/officeDocument/2006/relationships/image" Target="media/image68.png" /><Relationship Id="rId77" Type="http://schemas.openxmlformats.org/officeDocument/2006/relationships/image" Target="media/image69.emf" /><Relationship Id="rId78" Type="http://schemas.openxmlformats.org/officeDocument/2006/relationships/image" Target="media/image70.emf" /><Relationship Id="rId79" Type="http://schemas.openxmlformats.org/officeDocument/2006/relationships/image" Target="media/image71.emf" /><Relationship Id="rId80" Type="http://schemas.openxmlformats.org/officeDocument/2006/relationships/image" Target="media/image72.emf" /><Relationship Id="rId81" Type="http://schemas.openxmlformats.org/officeDocument/2006/relationships/image" Target="media/image73.emf" /><Relationship Id="rId82" Type="http://schemas.openxmlformats.org/officeDocument/2006/relationships/image" Target="media/image74.png" /><Relationship Id="rId83" Type="http://schemas.openxmlformats.org/officeDocument/2006/relationships/header" Target="header3.xml" /><Relationship Id="rId84" Type="http://schemas.openxmlformats.org/officeDocument/2006/relationships/image" Target="media/image75.png" /><Relationship Id="rId85" Type="http://schemas.openxmlformats.org/officeDocument/2006/relationships/header" Target="header4.xml" /><Relationship Id="rId86" Type="http://schemas.microsoft.com/office/2007/relationships/diagramDrawing" Target="diagrams/drawing1.xml" /><Relationship Id="rId87" Type="http://schemas.openxmlformats.org/officeDocument/2006/relationships/diagramData" Target="diagrams/data1.xml" /><Relationship Id="rId88" Type="http://schemas.openxmlformats.org/officeDocument/2006/relationships/diagramLayout" Target="diagrams/layout1.xml" /><Relationship Id="rId89" Type="http://schemas.openxmlformats.org/officeDocument/2006/relationships/diagramQuickStyle" Target="diagrams/quickStyle1.xml" /><Relationship Id="rId90" Type="http://schemas.openxmlformats.org/officeDocument/2006/relationships/diagramColors" Target="diagrams/colors1.xml" /><Relationship Id="rId91" Type="http://schemas.openxmlformats.org/officeDocument/2006/relationships/image" Target="media/image76.png" /><Relationship Id="rId92" Type="http://schemas.openxmlformats.org/officeDocument/2006/relationships/header" Target="header5.xml" /><Relationship Id="rId93" Type="http://schemas.openxmlformats.org/officeDocument/2006/relationships/header" Target="header6.xml" /><Relationship Id="rId94" Type="http://schemas.openxmlformats.org/officeDocument/2006/relationships/header" Target="header7.xml" /><Relationship Id="rId95" Type="http://schemas.openxmlformats.org/officeDocument/2006/relationships/footer" Target="footer3.xml" /><Relationship Id="rId96" Type="http://schemas.openxmlformats.org/officeDocument/2006/relationships/footer" Target="footer4.xml" /><Relationship Id="rId97" Type="http://schemas.openxmlformats.org/officeDocument/2006/relationships/footer" Target="footer5.xml" /><Relationship Id="rId98" Type="http://schemas.openxmlformats.org/officeDocument/2006/relationships/image" Target="media/image77.gif" /><Relationship Id="rId99" Type="http://schemas.openxmlformats.org/officeDocument/2006/relationships/image" Target="media/image78.png" /><Relationship Id="rId100" Type="http://schemas.openxmlformats.org/officeDocument/2006/relationships/image" Target="media/image79.png" /><Relationship Id="rId101" Type="http://schemas.openxmlformats.org/officeDocument/2006/relationships/image" Target="media/image80.png" /><Relationship Id="rId102" Type="http://schemas.openxmlformats.org/officeDocument/2006/relationships/image" Target="media/image81.png" /><Relationship Id="rId103" Type="http://schemas.openxmlformats.org/officeDocument/2006/relationships/image" Target="media/image82.png" /><Relationship Id="rId104" Type="http://schemas.openxmlformats.org/officeDocument/2006/relationships/image" Target="media/image83.png" /><Relationship Id="rId105" Type="http://schemas.openxmlformats.org/officeDocument/2006/relationships/image" Target="media/image84.png" /><Relationship Id="rId106" Type="http://schemas.openxmlformats.org/officeDocument/2006/relationships/header" Target="header8.xml" /><Relationship Id="rId107" Type="http://schemas.openxmlformats.org/officeDocument/2006/relationships/image" Target="media/image85.png" /><Relationship Id="rId108" Type="http://schemas.openxmlformats.org/officeDocument/2006/relationships/footnotes" Target="footnotes.xml" /><Relationship Id="rId109" Type="http://schemas.microsoft.com/office/2011/relationships/commentsExtended" Target="commentsExtended.xml"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27D576-BE2C-4CDE-B263-E2057D136F86}" type="doc">
      <dgm:prSet loTypeId="urn:microsoft.com/office/officeart/2005/8/layout/pyramid1" loCatId="pyramid" qsTypeId="urn:microsoft.com/office/officeart/2005/8/quickstyle/simple1" qsCatId="simple" csTypeId="urn:microsoft.com/office/officeart/2005/8/colors/accent1_2#1" csCatId="accent1" phldr="1"/>
      <dgm:spPr/>
    </dgm:pt>
    <dgm:pt modelId="{82CF9DF5-F8C6-4FEA-9BCD-32A43FA2C8D9}" type="pres">
      <dgm:prSet presAssocID="{3F27D576-BE2C-4CDE-B263-E2057D136F86}" presName="Name0" presStyleCnt="0">
        <dgm:presLayoutVars>
          <dgm:dir/>
          <dgm:animLvl val="lvl"/>
          <dgm:resizeHandles val="exact"/>
        </dgm:presLayoutVars>
      </dgm:prSet>
      <dgm:spPr/>
    </dgm:pt>
    <dgm:pt modelId="{F24421AE-B4D0-49BF-A543-068E70B540CD}" type="pres">
      <dgm:prSet presAssocID="{46317FBC-735F-429B-9BF3-4EFCF11B1DC1}" presName="Name8" presStyleLbl="node1" presStyleIdx="0" presStyleCnt="4"/>
      <dgm:spPr/>
    </dgm:pt>
    <dgm:pt modelId="{4CE0FC77-0876-497A-A389-6BAC0C14F40A}" type="pres">
      <dgm:prSet presAssocID="{F535249A-B419-4F32-9D15-41A9D99E2C40}" presName="Name8" presStyleLbl="node1" presStyleIdx="1" presStyleCnt="4"/>
      <dgm:spPr/>
    </dgm:pt>
    <dgm:pt modelId="{6965E03A-69CE-46E4-9DA4-819C41BCF412}" type="pres">
      <dgm:prSet presAssocID="{230152A9-1D01-4264-8C3D-EC8DA0D73464}" presName="Name8" presStyleLbl="node1" presStyleIdx="2" presStyleCnt="4"/>
      <dgm:spPr/>
    </dgm:pt>
    <dgm:pt modelId="{ADF5F399-B806-4017-880E-43E6EDCA7025}" type="pres">
      <dgm:prSet presAssocID="{041483F7-D2CE-46C9-A83E-82814517FC65}" presName="Name8" presStyleLbl="node1" presStyleIdx="3" presStyleCnt="4"/>
      <dgm:spPr/>
    </dgm:pt>
    <dgm:pt modelId="{46317FBC-735F-429B-9BF3-4EFCF11B1DC1}">
      <dgm:prSet phldrT="[テキスト]"/>
      <dgm:spPr>
        <a:solidFill>
          <a:srgbClr val="C00000"/>
        </a:solidFill>
      </dgm:spPr>
      <dgm:t>
        <a:bodyPr/>
        <a:lstStyle/>
        <a:p>
          <a:r>
            <a:rPr kumimoji="1" lang="ja-JP" altLang="en-US"/>
            <a:t>　</a:t>
          </a:r>
        </a:p>
      </dgm:t>
    </dgm:pt>
    <dgm:pt modelId="{69FC2082-ADF1-47C8-8C89-F14CD24B8B19}" type="pres">
      <dgm:prSet presAssocID="{46317FBC-735F-429B-9BF3-4EFCF11B1DC1}" presName="level" presStyleLbl="node1" presStyleIdx="0" presStyleCnt="4">
        <dgm:presLayoutVars>
          <dgm:chMax val="1"/>
          <dgm:bulletEnabled val="1"/>
        </dgm:presLayoutVars>
      </dgm:prSet>
      <dgm:spPr/>
    </dgm:pt>
    <dgm:pt modelId="{8F3855A8-CD72-4925-82F5-FFFA4186D704}" type="pres">
      <dgm:prSet presAssocID="{46317FBC-735F-429B-9BF3-4EFCF11B1DC1}" presName="levelTx" presStyleLbl="revTx" presStyleIdx="0" presStyleCnt="0">
        <dgm:presLayoutVars>
          <dgm:chMax val="1"/>
          <dgm:bulletEnabled val="1"/>
        </dgm:presLayoutVars>
      </dgm:prSet>
      <dgm:spPr/>
    </dgm:pt>
    <dgm:pt modelId="{3D56C594-7E3C-400E-A92E-39D41F30BA00}" type="parTrans" cxnId="{68326C52-869D-439B-BC06-F0ECD153065E}">
      <dgm:prSet/>
      <dgm:spPr/>
      <dgm:t>
        <a:bodyPr/>
        <a:lstStyle/>
        <a:p>
          <a:endParaRPr kumimoji="1" lang="ja-JP" altLang="en-US"/>
        </a:p>
      </dgm:t>
    </dgm:pt>
    <dgm:pt modelId="{10D98638-C429-437C-AE12-5663507ED67F}" type="sibTrans" cxnId="{68326C52-869D-439B-BC06-F0ECD153065E}">
      <dgm:prSet/>
      <dgm:spPr/>
      <dgm:t>
        <a:bodyPr/>
        <a:lstStyle/>
        <a:p>
          <a:endParaRPr kumimoji="1" lang="ja-JP" altLang="en-US"/>
        </a:p>
      </dgm:t>
    </dgm:pt>
    <dgm:pt modelId="{F535249A-B419-4F32-9D15-41A9D99E2C40}">
      <dgm:prSet phldrT="[テキスト]"/>
      <dgm:spPr>
        <a:solidFill>
          <a:srgbClr val="FF0000"/>
        </a:solidFill>
      </dgm:spPr>
      <dgm:t>
        <a:bodyPr/>
        <a:lstStyle/>
        <a:p>
          <a:r>
            <a:rPr kumimoji="1" lang="ja-JP" altLang="en-US"/>
            <a:t>　</a:t>
          </a:r>
        </a:p>
      </dgm:t>
    </dgm:pt>
    <dgm:pt modelId="{B53B75C9-AFAA-48B0-88C6-2E8A55267CAC}" type="pres">
      <dgm:prSet presAssocID="{F535249A-B419-4F32-9D15-41A9D99E2C40}" presName="level" presStyleLbl="node1" presStyleIdx="1" presStyleCnt="4">
        <dgm:presLayoutVars>
          <dgm:chMax val="1"/>
          <dgm:bulletEnabled val="1"/>
        </dgm:presLayoutVars>
      </dgm:prSet>
      <dgm:spPr/>
    </dgm:pt>
    <dgm:pt modelId="{72FB8754-8D5A-428A-9D3D-19FD635A2338}" type="pres">
      <dgm:prSet presAssocID="{F535249A-B419-4F32-9D15-41A9D99E2C40}" presName="levelTx" presStyleLbl="revTx" presStyleIdx="0" presStyleCnt="0">
        <dgm:presLayoutVars>
          <dgm:chMax val="1"/>
          <dgm:bulletEnabled val="1"/>
        </dgm:presLayoutVars>
      </dgm:prSet>
      <dgm:spPr/>
    </dgm:pt>
    <dgm:pt modelId="{EFC5F0DC-2A68-4827-B34D-9A5BB8170F50}" type="parTrans" cxnId="{7DB5FC37-F971-43FF-9D33-51347E15A008}">
      <dgm:prSet/>
      <dgm:spPr/>
      <dgm:t>
        <a:bodyPr/>
        <a:lstStyle/>
        <a:p>
          <a:endParaRPr kumimoji="1" lang="ja-JP" altLang="en-US"/>
        </a:p>
      </dgm:t>
    </dgm:pt>
    <dgm:pt modelId="{885604EF-AEA0-4B73-B5A5-A2BF7BF7C0ED}" type="sibTrans" cxnId="{7DB5FC37-F971-43FF-9D33-51347E15A008}">
      <dgm:prSet/>
      <dgm:spPr/>
      <dgm:t>
        <a:bodyPr/>
        <a:lstStyle/>
        <a:p>
          <a:endParaRPr kumimoji="1" lang="ja-JP" altLang="en-US"/>
        </a:p>
      </dgm:t>
    </dgm:pt>
    <dgm:pt modelId="{230152A9-1D01-4264-8C3D-EC8DA0D73464}">
      <dgm:prSet phldrT="[テキスト]"/>
      <dgm:spPr>
        <a:solidFill>
          <a:schemeClr val="accent2"/>
        </a:solidFill>
      </dgm:spPr>
      <dgm:t>
        <a:bodyPr/>
        <a:lstStyle/>
        <a:p>
          <a:r>
            <a:rPr kumimoji="1" lang="ja-JP" altLang="en-US"/>
            <a:t>　</a:t>
          </a:r>
        </a:p>
      </dgm:t>
    </dgm:pt>
    <dgm:pt modelId="{83E0F82F-A156-44CD-A43D-D6302E33BA9F}" type="pres">
      <dgm:prSet presAssocID="{230152A9-1D01-4264-8C3D-EC8DA0D73464}" presName="level" presStyleLbl="node1" presStyleIdx="2" presStyleCnt="4">
        <dgm:presLayoutVars>
          <dgm:chMax val="1"/>
          <dgm:bulletEnabled val="1"/>
        </dgm:presLayoutVars>
      </dgm:prSet>
      <dgm:spPr/>
    </dgm:pt>
    <dgm:pt modelId="{CE991010-C841-40DA-AFC0-059CE4FF071C}" type="pres">
      <dgm:prSet presAssocID="{230152A9-1D01-4264-8C3D-EC8DA0D73464}" presName="levelTx" presStyleLbl="revTx" presStyleIdx="0" presStyleCnt="0">
        <dgm:presLayoutVars>
          <dgm:chMax val="1"/>
          <dgm:bulletEnabled val="1"/>
        </dgm:presLayoutVars>
      </dgm:prSet>
      <dgm:spPr/>
    </dgm:pt>
    <dgm:pt modelId="{138B5E61-372C-4751-8DD3-CC6016FFE7D5}" type="parTrans" cxnId="{CF485684-D92B-42F4-9010-24CD071B8301}">
      <dgm:prSet/>
      <dgm:spPr/>
      <dgm:t>
        <a:bodyPr/>
        <a:lstStyle/>
        <a:p>
          <a:endParaRPr kumimoji="1" lang="ja-JP" altLang="en-US"/>
        </a:p>
      </dgm:t>
    </dgm:pt>
    <dgm:pt modelId="{3BFB6592-D432-49DE-AAD2-85042B69A94D}" type="sibTrans" cxnId="{CF485684-D92B-42F4-9010-24CD071B8301}">
      <dgm:prSet/>
      <dgm:spPr/>
      <dgm:t>
        <a:bodyPr/>
        <a:lstStyle/>
        <a:p>
          <a:endParaRPr kumimoji="1" lang="ja-JP" altLang="en-US"/>
        </a:p>
      </dgm:t>
    </dgm:pt>
    <dgm:pt modelId="{041483F7-D2CE-46C9-A83E-82814517FC65}">
      <dgm:prSet phldrT="[テキスト]"/>
      <dgm:spPr>
        <a:solidFill>
          <a:schemeClr val="accent4">
            <a:lumMod val="60000"/>
            <a:lumOff val="40000"/>
          </a:schemeClr>
        </a:solidFill>
      </dgm:spPr>
      <dgm:t>
        <a:bodyPr/>
        <a:lstStyle/>
        <a:p>
          <a:endParaRPr kumimoji="1" lang="ja-JP" altLang="en-US"/>
        </a:p>
      </dgm:t>
    </dgm:pt>
    <dgm:pt modelId="{202F08E4-6AF9-4EB3-B446-A9E11F39DCF0}" type="pres">
      <dgm:prSet presAssocID="{041483F7-D2CE-46C9-A83E-82814517FC65}" presName="level" presStyleLbl="node1" presStyleIdx="3" presStyleCnt="4">
        <dgm:presLayoutVars>
          <dgm:chMax val="1"/>
          <dgm:bulletEnabled val="1"/>
        </dgm:presLayoutVars>
      </dgm:prSet>
      <dgm:spPr/>
    </dgm:pt>
    <dgm:pt modelId="{F46F8E48-B4F4-4B0C-B05F-957FF548A161}" type="pres">
      <dgm:prSet presAssocID="{041483F7-D2CE-46C9-A83E-82814517FC65}" presName="levelTx" presStyleLbl="revTx" presStyleIdx="0" presStyleCnt="0">
        <dgm:presLayoutVars>
          <dgm:chMax val="1"/>
          <dgm:bulletEnabled val="1"/>
        </dgm:presLayoutVars>
      </dgm:prSet>
      <dgm:spPr/>
    </dgm:pt>
    <dgm:pt modelId="{B87678F1-85D1-43EF-8F08-71AA752F3452}" type="parTrans" cxnId="{C999118F-1CE9-4AC6-AA4F-EDAC9CB08DFC}">
      <dgm:prSet/>
      <dgm:spPr/>
      <dgm:t>
        <a:bodyPr/>
        <a:lstStyle/>
        <a:p>
          <a:endParaRPr kumimoji="1" lang="ja-JP" altLang="en-US"/>
        </a:p>
      </dgm:t>
    </dgm:pt>
    <dgm:pt modelId="{8A63F314-4D7B-4DF9-B345-3D0F64550B80}" type="sibTrans" cxnId="{C999118F-1CE9-4AC6-AA4F-EDAC9CB08DFC}">
      <dgm:prSet/>
      <dgm:spPr/>
      <dgm:t>
        <a:bodyPr/>
        <a:lstStyle/>
        <a:p>
          <a:endParaRPr kumimoji="1" lang="ja-JP" altLang="en-US"/>
        </a:p>
      </dgm:t>
    </dgm:pt>
  </dgm:ptLst>
  <dgm:cxnLst>
    <dgm:cxn modelId="{4CE64FE3-C9E4-4568-BB29-523A765AD56B}" type="presOf" srcId="{3F27D576-BE2C-4CDE-B263-E2057D136F86}" destId="{82CF9DF5-F8C6-4FEA-9BCD-32A43FA2C8D9}" srcOrd="0" destOrd="0" presId="urn:microsoft.com/office/officeart/2005/8/layout/pyramid1"/>
    <dgm:cxn modelId="{5D6ADE12-9AB4-42EE-A921-B4E3CDE84946}" type="presOf" srcId="{3F27D576-BE2C-4CDE-B263-E2057D136F86}" destId="{F24421AE-B4D0-49BF-A543-068E70B540CD}" srcOrd="1" destOrd="1" presId="urn:microsoft.com/office/officeart/2005/8/layout/pyramid1"/>
    <dgm:cxn modelId="{9BD65D6F-412E-44CF-B1E8-1DFDA6C6E18E}" type="presOf" srcId="{3F27D576-BE2C-4CDE-B263-E2057D136F86}" destId="{4CE0FC77-0876-497A-A389-6BAC0C14F40A}" srcOrd="2" destOrd="1" presId="urn:microsoft.com/office/officeart/2005/8/layout/pyramid1"/>
    <dgm:cxn modelId="{B5670C31-373E-45FC-971B-8D4A8948EA91}" type="presOf" srcId="{3F27D576-BE2C-4CDE-B263-E2057D136F86}" destId="{6965E03A-69CE-46E4-9DA4-819C41BCF412}" srcOrd="3" destOrd="1" presId="urn:microsoft.com/office/officeart/2005/8/layout/pyramid1"/>
    <dgm:cxn modelId="{F21A9462-5954-4BCC-B724-867605C93096}" type="presOf" srcId="{3F27D576-BE2C-4CDE-B263-E2057D136F86}" destId="{ADF5F399-B806-4017-880E-43E6EDCA7025}" srcOrd="4" destOrd="1" presId="urn:microsoft.com/office/officeart/2005/8/layout/pyramid1"/>
    <dgm:cxn modelId="{3F8FC064-BC67-470D-9F6B-5A9827313F9F}" type="presOf" srcId="{46317FBC-735F-429B-9BF3-4EFCF11B1DC1}" destId="{69FC2082-ADF1-47C8-8C89-F14CD24B8B19}" srcOrd="0" destOrd="0" presId="urn:microsoft.com/office/officeart/2005/8/layout/pyramid1"/>
    <dgm:cxn modelId="{5473B023-DE71-49C9-8122-C35821839FFB}" type="presOf" srcId="{46317FBC-735F-429B-9BF3-4EFCF11B1DC1}" destId="{8F3855A8-CD72-4925-82F5-FFFA4186D704}" srcOrd="1" destOrd="0" presId="urn:microsoft.com/office/officeart/2005/8/layout/pyramid1"/>
    <dgm:cxn modelId="{62FF2B3F-FB13-4264-B0BF-C9F20EF4D562}" type="presOf" srcId="{46317FBC-735F-429B-9BF3-4EFCF11B1DC1}" destId="{69FC2082-ADF1-47C8-8C89-F14CD24B8B19}" srcOrd="2" destOrd="0" presId="urn:microsoft.com/office/officeart/2005/8/layout/pyramid1"/>
    <dgm:cxn modelId="{BC0D320C-734A-45BB-8A17-BFD7C7294E2A}" type="presOf" srcId="{46317FBC-735F-429B-9BF3-4EFCF11B1DC1}" destId="{8F3855A8-CD72-4925-82F5-FFFA4186D704}" srcOrd="3" destOrd="0" presId="urn:microsoft.com/office/officeart/2005/8/layout/pyramid1"/>
    <dgm:cxn modelId="{68326C52-869D-439B-BC06-F0ECD153065E}" srcId="{3F27D576-BE2C-4CDE-B263-E2057D136F86}" destId="{46317FBC-735F-429B-9BF3-4EFCF11B1DC1}" srcOrd="0" destOrd="0" parTransId="{3D56C594-7E3C-400E-A92E-39D41F30BA00}" sibTransId="{10D98638-C429-437C-AE12-5663507ED67F}" presId="urn:microsoft.com/office/officeart/2005/8/layout/pyramid1"/>
    <dgm:cxn modelId="{4EF43CB1-3C81-42D9-A228-A09F45F132C4}" type="presOf" srcId="{F535249A-B419-4F32-9D15-41A9D99E2C40}" destId="{B53B75C9-AFAA-48B0-88C6-2E8A55267CAC}" srcOrd="0" destOrd="0" presId="urn:microsoft.com/office/officeart/2005/8/layout/pyramid1"/>
    <dgm:cxn modelId="{EC0E3F5D-985A-4632-9237-312A7B18EEB8}" type="presOf" srcId="{F535249A-B419-4F32-9D15-41A9D99E2C40}" destId="{72FB8754-8D5A-428A-9D3D-19FD635A2338}" srcOrd="1" destOrd="0" presId="urn:microsoft.com/office/officeart/2005/8/layout/pyramid1"/>
    <dgm:cxn modelId="{96CA9A58-A549-4167-9215-2F72354C762E}" type="presOf" srcId="{F535249A-B419-4F32-9D15-41A9D99E2C40}" destId="{B53B75C9-AFAA-48B0-88C6-2E8A55267CAC}" srcOrd="2" destOrd="0" presId="urn:microsoft.com/office/officeart/2005/8/layout/pyramid1"/>
    <dgm:cxn modelId="{167F23D6-10AC-405C-9008-51D193404F2F}" type="presOf" srcId="{F535249A-B419-4F32-9D15-41A9D99E2C40}" destId="{72FB8754-8D5A-428A-9D3D-19FD635A2338}" srcOrd="3" destOrd="0" presId="urn:microsoft.com/office/officeart/2005/8/layout/pyramid1"/>
    <dgm:cxn modelId="{7DB5FC37-F971-43FF-9D33-51347E15A008}" srcId="{3F27D576-BE2C-4CDE-B263-E2057D136F86}" destId="{F535249A-B419-4F32-9D15-41A9D99E2C40}" srcOrd="1" destOrd="0" parTransId="{EFC5F0DC-2A68-4827-B34D-9A5BB8170F50}" sibTransId="{885604EF-AEA0-4B73-B5A5-A2BF7BF7C0ED}" presId="urn:microsoft.com/office/officeart/2005/8/layout/pyramid1"/>
    <dgm:cxn modelId="{748EF634-E444-4C3D-A6D2-E259424A2061}" type="presOf" srcId="{230152A9-1D01-4264-8C3D-EC8DA0D73464}" destId="{83E0F82F-A156-44CD-A43D-D6302E33BA9F}" srcOrd="0" destOrd="0" presId="urn:microsoft.com/office/officeart/2005/8/layout/pyramid1"/>
    <dgm:cxn modelId="{0C6BE6E9-985C-4FBF-B648-2DD7D88D6E64}" type="presOf" srcId="{230152A9-1D01-4264-8C3D-EC8DA0D73464}" destId="{CE991010-C841-40DA-AFC0-059CE4FF071C}" srcOrd="1" destOrd="0" presId="urn:microsoft.com/office/officeart/2005/8/layout/pyramid1"/>
    <dgm:cxn modelId="{D1F04AEE-8A39-447F-9CBB-BD247D5A57F8}" type="presOf" srcId="{230152A9-1D01-4264-8C3D-EC8DA0D73464}" destId="{83E0F82F-A156-44CD-A43D-D6302E33BA9F}" srcOrd="2" destOrd="0" presId="urn:microsoft.com/office/officeart/2005/8/layout/pyramid1"/>
    <dgm:cxn modelId="{DFA13105-467F-429E-9263-653461124B49}" type="presOf" srcId="{230152A9-1D01-4264-8C3D-EC8DA0D73464}" destId="{CE991010-C841-40DA-AFC0-059CE4FF071C}" srcOrd="3" destOrd="0" presId="urn:microsoft.com/office/officeart/2005/8/layout/pyramid1"/>
    <dgm:cxn modelId="{CF485684-D92B-42F4-9010-24CD071B8301}" srcId="{3F27D576-BE2C-4CDE-B263-E2057D136F86}" destId="{230152A9-1D01-4264-8C3D-EC8DA0D73464}" srcOrd="2" destOrd="0" parTransId="{138B5E61-372C-4751-8DD3-CC6016FFE7D5}" sibTransId="{3BFB6592-D432-49DE-AAD2-85042B69A94D}" presId="urn:microsoft.com/office/officeart/2005/8/layout/pyramid1"/>
    <dgm:cxn modelId="{53B40162-5082-4FC5-A6E0-689675D70FAC}" type="presOf" srcId="{041483F7-D2CE-46C9-A83E-82814517FC65}" destId="{202F08E4-6AF9-4EB3-B446-A9E11F39DCF0}" srcOrd="0" destOrd="0" presId="urn:microsoft.com/office/officeart/2005/8/layout/pyramid1"/>
    <dgm:cxn modelId="{E68E2A23-1004-4811-B89C-7D9CEB76ED4F}" type="presOf" srcId="{041483F7-D2CE-46C9-A83E-82814517FC65}" destId="{F46F8E48-B4F4-4B0C-B05F-957FF548A161}" srcOrd="1" destOrd="0" presId="urn:microsoft.com/office/officeart/2005/8/layout/pyramid1"/>
    <dgm:cxn modelId="{D5965B5C-BAE2-44D1-9821-91D52EE93B50}" type="presOf" srcId="{041483F7-D2CE-46C9-A83E-82814517FC65}" destId="{202F08E4-6AF9-4EB3-B446-A9E11F39DCF0}" srcOrd="2" destOrd="0" presId="urn:microsoft.com/office/officeart/2005/8/layout/pyramid1"/>
    <dgm:cxn modelId="{67D91402-1B80-4DF5-A7A6-700A80F8152E}" type="presOf" srcId="{041483F7-D2CE-46C9-A83E-82814517FC65}" destId="{F46F8E48-B4F4-4B0C-B05F-957FF548A161}" srcOrd="3" destOrd="0" presId="urn:microsoft.com/office/officeart/2005/8/layout/pyramid1"/>
    <dgm:cxn modelId="{C999118F-1CE9-4AC6-AA4F-EDAC9CB08DFC}" srcId="{3F27D576-BE2C-4CDE-B263-E2057D136F86}" destId="{041483F7-D2CE-46C9-A83E-82814517FC65}" srcOrd="3" destOrd="0" parTransId="{B87678F1-85D1-43EF-8F08-71AA752F3452}" sibTransId="{8A63F314-4D7B-4DF9-B345-3D0F64550B80}" presId="urn:microsoft.com/office/officeart/2005/8/layout/pyramid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C2082-ADF1-47C8-8C89-F14CD24B8B19}">
      <dsp:nvSpPr>
        <dsp:cNvPr id="0" name=""/>
        <dsp:cNvSpPr/>
      </dsp:nvSpPr>
      <dsp:spPr>
        <a:xfrm>
          <a:off x="1083945" y="0"/>
          <a:ext cx="722630" cy="782320"/>
        </a:xfrm>
        <a:prstGeom prst="trapezoid">
          <a:avLst>
            <a:gd name="adj" fmla="val 50000"/>
          </a:avLst>
        </a:prstGeom>
        <a:solidFill>
          <a:srgbClr val="C00000"/>
        </a:solidFill>
        <a:ln w="12700" cap="flat" cmpd="sng" algn="ctr">
          <a:solidFill>
            <a:schemeClr val="l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kumimoji="1" lang="ja-JP" altLang="en-US" sz="3500" kern="1200"/>
            <a:t>　</a:t>
          </a:r>
        </a:p>
      </dsp:txBody>
      <dsp:txXfrm>
        <a:off x="1083945" y="0"/>
        <a:ext cx="722630" cy="782320"/>
      </dsp:txXfrm>
    </dsp:sp>
    <dsp:sp modelId="{B53B75C9-AFAA-48B0-88C6-2E8A55267CAC}">
      <dsp:nvSpPr>
        <dsp:cNvPr id="0" name=""/>
        <dsp:cNvSpPr/>
      </dsp:nvSpPr>
      <dsp:spPr>
        <a:xfrm>
          <a:off x="722630" y="782319"/>
          <a:ext cx="1445260" cy="782320"/>
        </a:xfrm>
        <a:prstGeom prst="trapezoid">
          <a:avLst>
            <a:gd name="adj" fmla="val 46185"/>
          </a:avLst>
        </a:prstGeom>
        <a:solidFill>
          <a:srgbClr val="FF0000"/>
        </a:solidFill>
        <a:ln w="12700" cap="flat" cmpd="sng" algn="ctr">
          <a:solidFill>
            <a:schemeClr val="l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kumimoji="1" lang="ja-JP" altLang="en-US" sz="3500" kern="1200"/>
            <a:t>　</a:t>
          </a:r>
        </a:p>
      </dsp:txBody>
      <dsp:txXfrm>
        <a:off x="975550" y="782319"/>
        <a:ext cx="939419" cy="782320"/>
      </dsp:txXfrm>
    </dsp:sp>
    <dsp:sp modelId="{83E0F82F-A156-44CD-A43D-D6302E33BA9F}">
      <dsp:nvSpPr>
        <dsp:cNvPr id="0" name=""/>
        <dsp:cNvSpPr/>
      </dsp:nvSpPr>
      <dsp:spPr>
        <a:xfrm>
          <a:off x="361315" y="1564639"/>
          <a:ext cx="2167889" cy="782320"/>
        </a:xfrm>
        <a:prstGeom prst="trapezoid">
          <a:avLst>
            <a:gd name="adj" fmla="val 46185"/>
          </a:avLst>
        </a:prstGeom>
        <a:solidFill>
          <a:schemeClr val="accent2"/>
        </a:solidFill>
        <a:ln w="12700" cap="flat" cmpd="sng" algn="ctr">
          <a:solidFill>
            <a:schemeClr val="l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kumimoji="1" lang="ja-JP" altLang="en-US" sz="3500" kern="1200"/>
            <a:t>　</a:t>
          </a:r>
        </a:p>
      </dsp:txBody>
      <dsp:txXfrm>
        <a:off x="740695" y="1564639"/>
        <a:ext cx="1409128" cy="782320"/>
      </dsp:txXfrm>
    </dsp:sp>
    <dsp:sp modelId="{202F08E4-6AF9-4EB3-B446-A9E11F39DCF0}">
      <dsp:nvSpPr>
        <dsp:cNvPr id="0" name=""/>
        <dsp:cNvSpPr/>
      </dsp:nvSpPr>
      <dsp:spPr>
        <a:xfrm>
          <a:off x="0" y="2346959"/>
          <a:ext cx="2890520" cy="782320"/>
        </a:xfrm>
        <a:prstGeom prst="trapezoid">
          <a:avLst>
            <a:gd name="adj" fmla="val 46185"/>
          </a:avLst>
        </a:prstGeom>
        <a:solidFill>
          <a:schemeClr val="accent4">
            <a:lumMod val="60000"/>
            <a:lumOff val="40000"/>
          </a:schemeClr>
        </a:solidFill>
        <a:ln w="12700" cap="flat" cmpd="sng" algn="ctr">
          <a:solidFill>
            <a:schemeClr val="l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endParaRPr kumimoji="1" lang="ja-JP" altLang="en-US" sz="3500" kern="1200"/>
        </a:p>
      </dsp:txBody>
      <dsp:txXfrm>
        <a:off x="505840" y="2346959"/>
        <a:ext cx="1878838" cy="7823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9563</TotalTime>
  <Pages>149</Pages>
  <Words>2569</Words>
  <Characters>100829</Characters>
  <Application>JUST Note</Application>
  <Lines>813066</Lines>
  <Paragraphs>3927</Paragraphs>
  <CharactersWithSpaces>102919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仲里 裕樹</dc:creator>
  <cp:lastModifiedBy>辻　紗織(手動)</cp:lastModifiedBy>
  <cp:lastPrinted>2020-12-23T04:41:07Z</cp:lastPrinted>
  <dcterms:created xsi:type="dcterms:W3CDTF">2020-06-22T01:14:00Z</dcterms:created>
  <dcterms:modified xsi:type="dcterms:W3CDTF">2020-12-23T04:49:02Z</dcterms:modified>
  <cp:revision>686</cp:revision>
</cp:coreProperties>
</file>