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rPr>
          <w:rFonts w:hint="default" w:ascii="メイリオ" w:hAnsi="メイリオ" w:eastAsia="メイリオ"/>
          <w:b w:val="1"/>
          <w:sz w:val="28"/>
          <w:u w:val="single" w:color="auto"/>
        </w:rPr>
      </w:pPr>
      <w:bookmarkStart w:id="0" w:name="_Hlk499199831"/>
      <w:bookmarkEnd w:id="0"/>
      <w:bookmarkStart w:id="1" w:name="_Toc405397072"/>
      <w:bookmarkEnd w:id="1"/>
      <w:bookmarkStart w:id="2" w:name="_Toc405397073"/>
      <w:bookmarkEnd w:id="2"/>
      <w:bookmarkStart w:id="3" w:name="_Toc405397076"/>
      <w:bookmarkEnd w:id="3"/>
      <w:bookmarkStart w:id="4" w:name="_Toc405397082"/>
      <w:bookmarkEnd w:id="4"/>
      <w:bookmarkStart w:id="5" w:name="_Toc512263467"/>
      <w:bookmarkEnd w:id="5"/>
      <w:bookmarkStart w:id="6" w:name="_Toc512263470"/>
      <w:bookmarkEnd w:id="6"/>
      <w:bookmarkStart w:id="7" w:name="_Toc59007778"/>
      <w:r>
        <w:rPr>
          <w:rFonts w:hint="eastAsia" w:ascii="メイリオ" w:hAnsi="メイリオ" w:eastAsia="メイリオ"/>
          <w:b w:val="1"/>
          <w:sz w:val="32"/>
          <w:u w:val="single" w:color="auto"/>
        </w:rPr>
        <w:t>４．課題の整理</w:t>
      </w:r>
      <w:bookmarkEnd w:id="7"/>
      <w:r>
        <w:rPr>
          <w:rFonts w:hint="eastAsia" w:ascii="メイリオ" w:hAnsi="メイリオ" w:eastAsia="メイリオ"/>
          <w:b w:val="1"/>
          <w:sz w:val="32"/>
          <w:u w:val="single" w:color="auto"/>
        </w:rPr>
        <w:t>　　　　　　　　　　　　　　　　　　　　　　　　　　</w:t>
      </w:r>
    </w:p>
    <w:p>
      <w:pPr>
        <w:pStyle w:val="0"/>
        <w:ind w:firstLine="240" w:firstLineChars="100"/>
        <w:jc w:val="both"/>
        <w:rPr>
          <w:rFonts w:hint="default"/>
        </w:rPr>
      </w:pPr>
      <w:r>
        <w:rPr>
          <w:rFonts w:hint="eastAsia"/>
        </w:rPr>
        <w:t>高齢者や家族介護者、事業者の意識・実態とともに、第７期計画の主な進捗状況などをふまえ、国や大阪府が示した本計画策定に関する指針などに沿って、本市の高齢者施策等に関する今後の課題を整理します。</w:t>
      </w:r>
    </w:p>
    <w:p>
      <w:pPr>
        <w:pStyle w:val="0"/>
        <w:jc w:val="both"/>
        <w:rPr>
          <w:rFonts w:hint="default"/>
        </w:rPr>
      </w:pPr>
    </w:p>
    <w:p>
      <w:pPr>
        <w:pStyle w:val="4"/>
        <w:ind w:left="39" w:leftChars="-99" w:hanging="277" w:hangingChars="99"/>
        <w:jc w:val="both"/>
        <w:rPr>
          <w:rFonts w:hint="default" w:ascii="メイリオ" w:hAnsi="メイリオ" w:eastAsia="メイリオ"/>
          <w:b w:val="0"/>
          <w:sz w:val="28"/>
          <w:highlight w:val="yellow"/>
        </w:rPr>
      </w:pPr>
      <w:bookmarkStart w:id="8" w:name="_Toc59007779"/>
      <w:r>
        <w:rPr>
          <w:rFonts w:hint="eastAsia" w:ascii="メイリオ" w:hAnsi="メイリオ" w:eastAsia="メイリオ"/>
          <w:b w:val="0"/>
          <w:sz w:val="28"/>
        </w:rPr>
        <w:t>（１）総合事業や生活支援サービスの充実について</w:t>
      </w:r>
      <w:bookmarkEnd w:id="8"/>
    </w:p>
    <w:p>
      <w:pPr>
        <w:pStyle w:val="0"/>
        <w:ind w:left="240" w:hanging="240" w:hangingChars="100"/>
        <w:jc w:val="both"/>
        <w:rPr>
          <w:rFonts w:hint="default" w:ascii="ＭＳ ゴシック" w:hAnsi="ＭＳ ゴシック" w:eastAsia="ＭＳ ゴシック"/>
        </w:rPr>
      </w:pPr>
      <w:r>
        <w:rPr>
          <w:rFonts w:hint="eastAsia"/>
        </w:rPr>
        <w:t>○　総合事業の推進により、介護予防ケアマネジメントに基づく自立支援に向けたサービス利用を促進するためには、総合事業の制度や考えかたについて、継続して周知を行うことが必要です。</w:t>
      </w:r>
    </w:p>
    <w:p>
      <w:pPr>
        <w:pStyle w:val="0"/>
        <w:ind w:left="240" w:hanging="240" w:hangingChars="100"/>
        <w:jc w:val="both"/>
        <w:rPr>
          <w:rFonts w:hint="default" w:ascii="ＭＳ ゴシック" w:hAnsi="ＭＳ ゴシック" w:eastAsia="ＭＳ ゴシック"/>
        </w:rPr>
      </w:pPr>
      <w:r>
        <w:rPr>
          <w:rFonts w:hint="eastAsia"/>
        </w:rPr>
        <w:t>○　また、高齢者の幅広いニーズをふまえ、地域住民、ボランティア団体、ＮＰＯ、民間企業など多様な主体の参画による、多様なサービス提供体制づくりが求められています。</w:t>
      </w:r>
    </w:p>
    <w:p>
      <w:pPr>
        <w:pStyle w:val="0"/>
        <w:ind w:left="240" w:hanging="240" w:hangingChars="100"/>
        <w:jc w:val="both"/>
        <w:rPr>
          <w:rFonts w:hint="default" w:ascii="ＭＳ ゴシック" w:hAnsi="ＭＳ ゴシック" w:eastAsia="ＭＳ ゴシック"/>
        </w:rPr>
      </w:pPr>
      <w:r>
        <w:rPr>
          <w:rFonts w:hint="eastAsia"/>
        </w:rPr>
        <w:t>○　特に、高齢者によるボランティア活動や就労的活動などの社会参加を促進することは、地域の支え合い体制づくりだけでなく、高齢者の生きがいや介護予防の観点からも重要です。</w:t>
      </w:r>
    </w:p>
    <w:p>
      <w:pPr>
        <w:pStyle w:val="0"/>
        <w:ind w:left="240" w:hanging="240" w:hangingChars="100"/>
        <w:jc w:val="both"/>
        <w:rPr>
          <w:rFonts w:hint="default"/>
        </w:rPr>
      </w:pPr>
      <w:r>
        <w:rPr>
          <w:rFonts w:hint="eastAsia"/>
        </w:rPr>
        <w:t>○　多様な生活支援のニーズに対して、すでにあるサービスで提供できない部分を補えるようなサービスを創設する仕組みづくりが必要です。</w:t>
      </w:r>
    </w:p>
    <w:p>
      <w:pPr>
        <w:pStyle w:val="0"/>
        <w:ind w:left="240" w:hanging="240" w:hangingChars="100"/>
        <w:jc w:val="both"/>
        <w:rPr>
          <w:rFonts w:hint="default"/>
        </w:rPr>
      </w:pPr>
      <w:r>
        <w:rPr>
          <w:rFonts w:hint="eastAsia"/>
        </w:rPr>
        <w:t>○　日常生活支援を提供する様々な支援機関が連携・協働し、地域での支え合い・助け合いが活発になるよう支援していくことが必要です。</w:t>
      </w:r>
    </w:p>
    <w:p>
      <w:pPr>
        <w:pStyle w:val="0"/>
        <w:ind w:left="240" w:hanging="240" w:hangingChars="100"/>
        <w:jc w:val="both"/>
        <w:rPr>
          <w:rFonts w:hint="default"/>
        </w:rPr>
      </w:pPr>
      <w:r>
        <w:rPr>
          <w:rFonts w:hint="eastAsia"/>
        </w:rPr>
        <w:t>○　地域共生社会の実現に向けて、住民が主体的に地域課題を把握して解決を試みる体制づくり（「我が事の地域づくり」）が必要です。</w:t>
      </w:r>
    </w:p>
    <w:p>
      <w:pPr>
        <w:pStyle w:val="0"/>
        <w:rPr>
          <w:rFonts w:hint="default"/>
        </w:rPr>
      </w:pPr>
    </w:p>
    <w:p>
      <w:pPr>
        <w:pStyle w:val="4"/>
        <w:ind w:left="39" w:leftChars="-99" w:hanging="277" w:hangingChars="99"/>
        <w:rPr>
          <w:rFonts w:hint="default" w:ascii="メイリオ" w:hAnsi="メイリオ" w:eastAsia="メイリオ"/>
          <w:b w:val="0"/>
          <w:sz w:val="28"/>
        </w:rPr>
      </w:pPr>
      <w:bookmarkStart w:id="9" w:name="_Toc59007780"/>
      <w:r>
        <w:rPr>
          <w:rFonts w:hint="eastAsia" w:ascii="メイリオ" w:hAnsi="メイリオ" w:eastAsia="メイリオ"/>
          <w:b w:val="0"/>
          <w:sz w:val="28"/>
        </w:rPr>
        <w:t>（２）在宅医療・介護連携の推進について</w:t>
      </w:r>
      <w:bookmarkEnd w:id="9"/>
    </w:p>
    <w:p>
      <w:pPr>
        <w:pStyle w:val="0"/>
        <w:ind w:left="240" w:hanging="240" w:hangingChars="100"/>
        <w:jc w:val="both"/>
        <w:rPr>
          <w:rFonts w:hint="default"/>
        </w:rPr>
      </w:pPr>
      <w:r>
        <w:rPr>
          <w:rFonts w:hint="eastAsia"/>
        </w:rPr>
        <w:t>○　医療と介護の連携が着実に進んでいますが、高齢者人口の増加に伴う医療需要の変化を見据えた病床の見直しに伴う在宅療養者の増加や、在宅療養者の受け皿となる在宅診療医の確保に向けた取組の検討、医療機関の退院から在宅への切れ目ない医療と介護サービスの連携強化などの取り組むべき課題があります。</w:t>
      </w:r>
    </w:p>
    <w:p>
      <w:pPr>
        <w:pStyle w:val="0"/>
        <w:ind w:left="240" w:hanging="240" w:hangingChars="100"/>
        <w:jc w:val="both"/>
        <w:rPr>
          <w:rFonts w:hint="default"/>
        </w:rPr>
      </w:pPr>
      <w:r>
        <w:rPr>
          <w:rFonts w:hint="eastAsia"/>
        </w:rPr>
        <w:t>○　終末期における看取りの考えかたについては、本人は在宅での最期を希望しているものの、家族が看取りをためらい、本人の意向に沿えないケースがみられます。そのため、人生の最終段階における医療・ケアについて、早い段階から医療関係者、本人、家族が話し合いの機会を設けることが望ましく、ＡＣＰ（アドバンス・ケア・プランニング）</w:t>
      </w:r>
      <w:r>
        <w:rPr>
          <w:rFonts w:hint="eastAsia"/>
          <w:vertAlign w:val="superscript"/>
        </w:rPr>
        <w:t>※</w:t>
      </w:r>
      <w:r>
        <w:rPr>
          <w:rStyle w:val="42"/>
          <w:rFonts w:hint="default"/>
        </w:rPr>
        <w:footnoteReference w:id="1"/>
      </w:r>
      <w:r>
        <w:rPr>
          <w:rFonts w:hint="eastAsia"/>
        </w:rPr>
        <w:t>の普及・啓発が必要です。</w:t>
      </w:r>
    </w:p>
    <w:p>
      <w:pPr>
        <w:pStyle w:val="0"/>
        <w:ind w:left="240" w:hanging="240" w:hangingChars="100"/>
        <w:jc w:val="both"/>
        <w:rPr>
          <w:rFonts w:hint="default"/>
        </w:rPr>
      </w:pPr>
    </w:p>
    <w:p>
      <w:pPr>
        <w:pStyle w:val="0"/>
        <w:ind w:left="240" w:hanging="240" w:hangingChars="100"/>
        <w:jc w:val="both"/>
        <w:rPr>
          <w:rFonts w:hint="default"/>
        </w:rPr>
      </w:pPr>
    </w:p>
    <w:p>
      <w:pPr>
        <w:pStyle w:val="0"/>
        <w:ind w:left="240" w:hanging="240" w:hangingChars="100"/>
        <w:jc w:val="both"/>
        <w:rPr>
          <w:rFonts w:hint="default"/>
        </w:rPr>
      </w:pPr>
      <w:r>
        <w:rPr>
          <w:rFonts w:hint="eastAsia"/>
        </w:rPr>
        <w:t>○　在宅療養の受け皿となる在宅療養支援病院は、市内には１か所しかなく、がんのターミナルのかたのみを対象としています。介護が必要で医療が少ないかたの急変時に対応・支援できる病院（在宅療養後方支援病院</w:t>
      </w:r>
      <w:r>
        <w:rPr>
          <w:rFonts w:hint="eastAsia"/>
          <w:vertAlign w:val="superscript"/>
        </w:rPr>
        <w:t>※</w:t>
      </w:r>
      <w:r>
        <w:rPr>
          <w:rStyle w:val="42"/>
          <w:rFonts w:hint="default"/>
        </w:rPr>
        <w:footnoteReference w:id="2"/>
      </w:r>
      <w:r>
        <w:rPr>
          <w:rFonts w:hint="eastAsia"/>
        </w:rPr>
        <w:t>）が少なく、かかりつけ医がスムーズに病院連携できる仕組みが課題です。</w:t>
      </w:r>
    </w:p>
    <w:p>
      <w:pPr>
        <w:pStyle w:val="0"/>
        <w:ind w:left="240" w:hanging="240" w:hangingChars="100"/>
        <w:jc w:val="both"/>
        <w:rPr>
          <w:rFonts w:hint="default"/>
        </w:rPr>
      </w:pPr>
      <w:r>
        <w:rPr>
          <w:rFonts w:hint="eastAsia"/>
        </w:rPr>
        <w:t>○　在宅医療・介護連携に関する協議及び入退院支援システムの構築支援、治療・ケアの意思決定確認、実施状況の検証や取組の改善、後方支援病院との体制づくり等、在宅医療と介護を一体的に実施するため、在宅医療コーディネート機能の充実について検討する必要があります。</w:t>
      </w:r>
    </w:p>
    <w:p>
      <w:pPr>
        <w:pStyle w:val="0"/>
        <w:ind w:left="240" w:hanging="240" w:hangingChars="100"/>
        <w:jc w:val="both"/>
        <w:rPr>
          <w:rFonts w:hint="default"/>
        </w:rPr>
      </w:pPr>
      <w:r>
        <w:rPr>
          <w:rFonts w:hint="eastAsia"/>
        </w:rPr>
        <w:t>○　大阪府地域医療構想</w:t>
      </w:r>
      <w:r>
        <w:rPr>
          <w:rFonts w:hint="eastAsia"/>
          <w:vertAlign w:val="superscript"/>
        </w:rPr>
        <w:t>※</w:t>
      </w:r>
      <w:r>
        <w:rPr>
          <w:rStyle w:val="42"/>
          <w:rFonts w:hint="default"/>
        </w:rPr>
        <w:footnoteReference w:id="3"/>
      </w:r>
      <w:r>
        <w:rPr>
          <w:rFonts w:hint="eastAsia"/>
        </w:rPr>
        <w:t>によると、本市では急性期病床数は充足していますが、慢性期病床</w:t>
      </w:r>
      <w:r>
        <w:rPr>
          <w:rFonts w:hint="eastAsia"/>
          <w:vertAlign w:val="superscript"/>
        </w:rPr>
        <w:t>※</w:t>
      </w:r>
      <w:r>
        <w:rPr>
          <w:rStyle w:val="42"/>
          <w:rFonts w:hint="default"/>
        </w:rPr>
        <w:footnoteReference w:id="4"/>
      </w:r>
      <w:r>
        <w:rPr>
          <w:rFonts w:hint="eastAsia"/>
        </w:rPr>
        <w:t>数は不足しています。また在宅医療を支える訪問診療、往診する医師が必要であり、後期高齢者数増加に伴い需要に見合った在宅医療提供体制の確保が急がれます。</w:t>
      </w:r>
    </w:p>
    <w:p>
      <w:pPr>
        <w:pStyle w:val="0"/>
        <w:rPr>
          <w:rFonts w:hint="default"/>
        </w:rPr>
      </w:pPr>
    </w:p>
    <w:p>
      <w:pPr>
        <w:pStyle w:val="4"/>
        <w:ind w:left="39" w:leftChars="-99" w:hanging="277" w:hangingChars="99"/>
        <w:rPr>
          <w:rFonts w:hint="default" w:ascii="メイリオ" w:hAnsi="メイリオ" w:eastAsia="メイリオ"/>
          <w:b w:val="0"/>
          <w:sz w:val="28"/>
        </w:rPr>
      </w:pPr>
      <w:bookmarkStart w:id="10" w:name="_Toc59007781"/>
      <w:r>
        <w:rPr>
          <w:rFonts w:hint="eastAsia" w:ascii="メイリオ" w:hAnsi="メイリオ" w:eastAsia="メイリオ"/>
          <w:b w:val="0"/>
          <w:sz w:val="28"/>
        </w:rPr>
        <w:t>（３）認知症施策の推進について</w:t>
      </w:r>
      <w:bookmarkEnd w:id="10"/>
    </w:p>
    <w:p>
      <w:pPr>
        <w:pStyle w:val="0"/>
        <w:tabs>
          <w:tab w:val="left" w:leader="none" w:pos="360"/>
        </w:tabs>
        <w:autoSpaceDE w:val="0"/>
        <w:autoSpaceDN w:val="0"/>
        <w:adjustRightInd w:val="0"/>
        <w:ind w:left="240" w:hanging="240" w:hangingChars="100"/>
        <w:jc w:val="both"/>
        <w:rPr>
          <w:rFonts w:hint="default"/>
        </w:rPr>
      </w:pPr>
      <w:r>
        <w:rPr>
          <w:rFonts w:hint="default"/>
        </w:rPr>
        <w:t>○</w:t>
      </w:r>
      <w:r>
        <w:rPr>
          <w:rFonts w:hint="eastAsia"/>
        </w:rPr>
        <w:t>　</w:t>
      </w:r>
      <w:r>
        <w:rPr>
          <w:rFonts w:hint="default"/>
        </w:rPr>
        <w:t>高齢化の進行に伴い、本市でも認知症高齢者数は増加することが見込まれます。このため、できるだけ認知症の発症を遅らせ</w:t>
      </w:r>
      <w:r>
        <w:rPr>
          <w:rFonts w:hint="eastAsia"/>
        </w:rPr>
        <w:t>るために</w:t>
      </w:r>
      <w:r>
        <w:rPr>
          <w:rFonts w:hint="default"/>
        </w:rPr>
        <w:t>、</w:t>
      </w:r>
      <w:r>
        <w:rPr>
          <w:rFonts w:hint="eastAsia"/>
        </w:rPr>
        <w:t>成人期からの生活習慣病対策のほか、運動・知的・社会活動等の様々</w:t>
      </w:r>
      <w:r>
        <w:rPr>
          <w:rFonts w:hint="default"/>
        </w:rPr>
        <w:t>な手法で認知症予防の取組を展開していくことが必要です。</w:t>
      </w:r>
    </w:p>
    <w:p>
      <w:pPr>
        <w:pStyle w:val="0"/>
        <w:tabs>
          <w:tab w:val="left" w:leader="none" w:pos="360"/>
        </w:tabs>
        <w:autoSpaceDE w:val="0"/>
        <w:autoSpaceDN w:val="0"/>
        <w:adjustRightInd w:val="0"/>
        <w:ind w:left="240" w:hanging="240" w:hangingChars="100"/>
        <w:jc w:val="both"/>
        <w:rPr>
          <w:rFonts w:hint="default"/>
        </w:rPr>
      </w:pPr>
      <w:r>
        <w:rPr>
          <w:rFonts w:hint="default"/>
        </w:rPr>
        <w:t>○</w:t>
      </w:r>
      <w:r>
        <w:rPr>
          <w:rFonts w:hint="eastAsia"/>
        </w:rPr>
        <w:t>　</w:t>
      </w:r>
      <w:r>
        <w:rPr>
          <w:rFonts w:hint="default"/>
        </w:rPr>
        <w:t>認知症初期集中支援チームや認知症地域支援推進員の配置によって、認知症のかた</w:t>
      </w:r>
      <w:r>
        <w:rPr>
          <w:rFonts w:hint="eastAsia"/>
        </w:rPr>
        <w:t>へ</w:t>
      </w:r>
      <w:r>
        <w:rPr>
          <w:rFonts w:hint="default"/>
        </w:rPr>
        <w:t>の早期介入、家族等の早期支援、地域との連携が着実に進んでおり、今後はケアマネジャーなどの関係者との連携を</w:t>
      </w:r>
      <w:r>
        <w:rPr>
          <w:rFonts w:hint="eastAsia"/>
        </w:rPr>
        <w:t>更に</w:t>
      </w:r>
      <w:r>
        <w:rPr>
          <w:rFonts w:hint="default"/>
        </w:rPr>
        <w:t>進めることが必要です。</w:t>
      </w:r>
    </w:p>
    <w:p>
      <w:pPr>
        <w:pStyle w:val="0"/>
        <w:tabs>
          <w:tab w:val="left" w:leader="none" w:pos="360"/>
        </w:tabs>
        <w:autoSpaceDE w:val="0"/>
        <w:autoSpaceDN w:val="0"/>
        <w:adjustRightInd w:val="0"/>
        <w:ind w:left="240" w:hanging="240" w:hangingChars="100"/>
        <w:jc w:val="both"/>
        <w:rPr>
          <w:rFonts w:hint="default"/>
        </w:rPr>
      </w:pPr>
      <w:r>
        <w:rPr>
          <w:rFonts w:hint="default"/>
        </w:rPr>
        <w:t>○</w:t>
      </w:r>
      <w:r>
        <w:rPr>
          <w:rFonts w:hint="eastAsia"/>
        </w:rPr>
        <w:t>　</w:t>
      </w:r>
      <w:r>
        <w:rPr>
          <w:rFonts w:hint="default"/>
        </w:rPr>
        <w:t>「みのお行方不明者</w:t>
      </w:r>
      <w:r>
        <w:rPr>
          <w:rFonts w:hint="eastAsia"/>
        </w:rPr>
        <w:t>ＳＯＳ</w:t>
      </w:r>
      <w:r>
        <w:rPr>
          <w:rFonts w:hint="default"/>
        </w:rPr>
        <w:t>ネット」については、周知や登録が進んでいますが、行方不明事案発生時に速やかに対応できるよう、</w:t>
      </w:r>
      <w:r>
        <w:rPr>
          <w:rFonts w:hint="eastAsia"/>
        </w:rPr>
        <w:t>更に</w:t>
      </w:r>
      <w:r>
        <w:rPr>
          <w:rFonts w:hint="default"/>
        </w:rPr>
        <w:t>周知を進める必要があります。また、「市民安全メール」についても、行方不明高齢者の早期発見のために広く協力を求めていく必要があります。</w:t>
      </w:r>
    </w:p>
    <w:p>
      <w:pPr>
        <w:pStyle w:val="0"/>
        <w:tabs>
          <w:tab w:val="left" w:leader="none" w:pos="360"/>
        </w:tabs>
        <w:autoSpaceDE w:val="0"/>
        <w:autoSpaceDN w:val="0"/>
        <w:adjustRightInd w:val="0"/>
        <w:ind w:left="240" w:hanging="240" w:hangingChars="100"/>
        <w:jc w:val="both"/>
        <w:rPr>
          <w:rFonts w:hint="default"/>
        </w:rPr>
      </w:pPr>
      <w:r>
        <w:rPr>
          <w:rFonts w:hint="default"/>
        </w:rPr>
        <w:t>○</w:t>
      </w:r>
      <w:r>
        <w:rPr>
          <w:rFonts w:hint="eastAsia"/>
        </w:rPr>
        <w:t>　地域で見守るかたを増やすために</w:t>
      </w:r>
      <w:r>
        <w:rPr>
          <w:rFonts w:hint="default"/>
        </w:rPr>
        <w:t>認知症サポーター等</w:t>
      </w:r>
      <w:r>
        <w:rPr>
          <w:rFonts w:hint="eastAsia"/>
        </w:rPr>
        <w:t>を更に</w:t>
      </w:r>
      <w:r>
        <w:rPr>
          <w:rFonts w:hint="default"/>
        </w:rPr>
        <w:t>養成するとともに、</w:t>
      </w:r>
      <w:r>
        <w:rPr>
          <w:rFonts w:hint="eastAsia"/>
        </w:rPr>
        <w:t>高齢者</w:t>
      </w:r>
      <w:r>
        <w:rPr>
          <w:rFonts w:hint="default"/>
        </w:rPr>
        <w:t>見守りサービス</w:t>
      </w:r>
      <w:r>
        <w:rPr>
          <w:rFonts w:hint="eastAsia"/>
        </w:rPr>
        <w:t>o</w:t>
      </w:r>
      <w:r>
        <w:rPr>
          <w:rFonts w:hint="default"/>
        </w:rPr>
        <w:t>tta</w:t>
      </w:r>
      <w:r>
        <w:rPr>
          <w:rFonts w:hint="default"/>
        </w:rPr>
        <w:t>の活用等とあわせて、地域の見守り体制を強化する必要があります。</w:t>
      </w:r>
    </w:p>
    <w:p>
      <w:pPr>
        <w:pStyle w:val="0"/>
        <w:tabs>
          <w:tab w:val="left" w:leader="none" w:pos="360"/>
        </w:tabs>
        <w:autoSpaceDE w:val="0"/>
        <w:autoSpaceDN w:val="0"/>
        <w:adjustRightInd w:val="0"/>
        <w:ind w:left="240" w:hanging="240" w:hangingChars="100"/>
        <w:jc w:val="both"/>
        <w:rPr>
          <w:rFonts w:hint="default"/>
        </w:rPr>
      </w:pPr>
      <w:r>
        <w:rPr>
          <w:rFonts w:hint="eastAsia"/>
        </w:rPr>
        <w:t>○　認知症サポーターを中心としたチームで認知症のかたや家族のニーズを支援でつなぐ仕組み（チームオレンジなど）を構築する必要があります。外出支援、見守り・声かけ、話し相手、認知症のかたの家庭訪問、家族支援等が考えられ、早期からの支援で進行予防に取り組めるように工夫します。</w:t>
      </w:r>
    </w:p>
    <w:p>
      <w:pPr>
        <w:pStyle w:val="0"/>
        <w:tabs>
          <w:tab w:val="left" w:leader="none" w:pos="360"/>
        </w:tabs>
        <w:autoSpaceDE w:val="0"/>
        <w:autoSpaceDN w:val="0"/>
        <w:adjustRightInd w:val="0"/>
        <w:ind w:left="240" w:hanging="240" w:hangingChars="100"/>
        <w:jc w:val="both"/>
        <w:rPr>
          <w:rFonts w:hint="default"/>
        </w:rPr>
      </w:pPr>
    </w:p>
    <w:p>
      <w:pPr>
        <w:pStyle w:val="0"/>
        <w:tabs>
          <w:tab w:val="left" w:leader="none" w:pos="360"/>
        </w:tabs>
        <w:autoSpaceDE w:val="0"/>
        <w:autoSpaceDN w:val="0"/>
        <w:adjustRightInd w:val="0"/>
        <w:ind w:left="240" w:hanging="240" w:hangingChars="100"/>
        <w:jc w:val="both"/>
        <w:rPr>
          <w:rFonts w:hint="default"/>
        </w:rPr>
      </w:pPr>
    </w:p>
    <w:p>
      <w:pPr>
        <w:pStyle w:val="0"/>
        <w:tabs>
          <w:tab w:val="left" w:leader="none" w:pos="360"/>
        </w:tabs>
        <w:autoSpaceDE w:val="0"/>
        <w:autoSpaceDN w:val="0"/>
        <w:adjustRightInd w:val="0"/>
        <w:ind w:left="240" w:hanging="240" w:hangingChars="100"/>
        <w:jc w:val="both"/>
        <w:rPr>
          <w:rFonts w:hint="default"/>
        </w:rPr>
      </w:pPr>
    </w:p>
    <w:p>
      <w:pPr>
        <w:pStyle w:val="0"/>
        <w:tabs>
          <w:tab w:val="left" w:leader="none" w:pos="360"/>
        </w:tabs>
        <w:autoSpaceDE w:val="0"/>
        <w:autoSpaceDN w:val="0"/>
        <w:adjustRightInd w:val="0"/>
        <w:ind w:left="240" w:hanging="240" w:hangingChars="100"/>
        <w:jc w:val="both"/>
        <w:rPr>
          <w:rFonts w:hint="default"/>
        </w:rPr>
      </w:pPr>
      <w:r>
        <w:rPr>
          <w:rFonts w:hint="eastAsia"/>
        </w:rPr>
        <w:t>○　国は令和元年</w:t>
      </w:r>
      <w:r>
        <w:rPr>
          <w:rFonts w:hint="eastAsia"/>
        </w:rPr>
        <w:t>(2019</w:t>
      </w:r>
      <w:r>
        <w:rPr>
          <w:rFonts w:hint="eastAsia"/>
        </w:rPr>
        <w:t>年</w:t>
      </w:r>
      <w:r>
        <w:rPr>
          <w:rFonts w:hint="eastAsia"/>
        </w:rPr>
        <w:t>)</w:t>
      </w:r>
      <w:r>
        <w:rPr>
          <w:rFonts w:hint="eastAsia"/>
        </w:rPr>
        <w:t>６月に「認知症施策推進大綱」を取りまとめましたが、これは認知症関係施策を強化するのが目的です。認知症になっても住みやすい社会を形成する「共生」と、発症や進行を遅らせる「予防」を車の両輪に位置付けつつ、１</w:t>
      </w:r>
      <w:r>
        <w:rPr>
          <w:rFonts w:hint="eastAsia"/>
        </w:rPr>
        <w:t xml:space="preserve">) </w:t>
      </w:r>
      <w:r>
        <w:rPr>
          <w:rFonts w:hint="eastAsia"/>
        </w:rPr>
        <w:t>普及啓発・本人発信支援、２</w:t>
      </w:r>
      <w:r>
        <w:rPr>
          <w:rFonts w:hint="eastAsia"/>
        </w:rPr>
        <w:t xml:space="preserve">) </w:t>
      </w:r>
      <w:r>
        <w:rPr>
          <w:rFonts w:hint="eastAsia"/>
        </w:rPr>
        <w:t>予防、３</w:t>
      </w:r>
      <w:r>
        <w:rPr>
          <w:rFonts w:hint="eastAsia"/>
        </w:rPr>
        <w:t xml:space="preserve">) </w:t>
      </w:r>
      <w:r>
        <w:rPr>
          <w:rFonts w:hint="eastAsia"/>
        </w:rPr>
        <w:t>医療・ケア・介護サービス・介護者への支援、４</w:t>
      </w:r>
      <w:r>
        <w:rPr>
          <w:rFonts w:hint="eastAsia"/>
        </w:rPr>
        <w:t xml:space="preserve">) </w:t>
      </w:r>
      <w:r>
        <w:rPr>
          <w:rFonts w:hint="eastAsia"/>
        </w:rPr>
        <w:t>認知症バリアフリーの推進・若年性認知症の人への支援・社会参加支援、５</w:t>
      </w:r>
      <w:r>
        <w:rPr>
          <w:rFonts w:hint="eastAsia"/>
        </w:rPr>
        <w:t xml:space="preserve">) </w:t>
      </w:r>
      <w:r>
        <w:rPr>
          <w:rFonts w:hint="eastAsia"/>
        </w:rPr>
        <w:t>研究開発・産業促進・国際展開の５つを柱に掲げました。本市では認知症の発症時期や段階に着目し、予防、早期発見・早期対応、共生に向けて各段階の対象者の状態像に合わせて取り組む必要があります。</w:t>
      </w:r>
    </w:p>
    <w:p>
      <w:pPr>
        <w:pStyle w:val="0"/>
        <w:rPr>
          <w:rFonts w:hint="default"/>
        </w:rPr>
      </w:pPr>
    </w:p>
    <w:p>
      <w:pPr>
        <w:pStyle w:val="4"/>
        <w:ind w:left="39" w:leftChars="-99" w:hanging="277" w:hangingChars="99"/>
        <w:rPr>
          <w:rFonts w:hint="default" w:ascii="メイリオ" w:hAnsi="メイリオ" w:eastAsia="メイリオ"/>
          <w:b w:val="0"/>
          <w:sz w:val="28"/>
        </w:rPr>
      </w:pPr>
      <w:bookmarkStart w:id="11" w:name="_Toc59007782"/>
      <w:r>
        <w:rPr>
          <w:rFonts w:hint="eastAsia" w:ascii="メイリオ" w:hAnsi="メイリオ" w:eastAsia="メイリオ"/>
          <w:b w:val="0"/>
          <w:sz w:val="28"/>
        </w:rPr>
        <w:t>（４）介護予防や健康づくり施策の充実・推進について</w:t>
      </w:r>
      <w:bookmarkEnd w:id="11"/>
    </w:p>
    <w:p>
      <w:pPr>
        <w:pStyle w:val="0"/>
        <w:ind w:left="240" w:hanging="240" w:hangingChars="100"/>
        <w:jc w:val="both"/>
        <w:rPr>
          <w:rFonts w:hint="default"/>
        </w:rPr>
      </w:pPr>
      <w:r>
        <w:rPr>
          <w:rFonts w:hint="eastAsia"/>
        </w:rPr>
        <w:t>○　介護予防や健康づくりの理念としては、要支援・要介護状態となることをできる限り防ぎ、遅らせること</w:t>
      </w:r>
      <w:r>
        <w:rPr>
          <w:rFonts w:hint="eastAsia"/>
        </w:rPr>
        <w:t>(</w:t>
      </w:r>
      <w:r>
        <w:rPr>
          <w:rFonts w:hint="eastAsia"/>
        </w:rPr>
        <w:t>介護予防）、また要介護状態等になってもその状態を可能な限り維持すること（重度化予防）が重要です。このため、心身状態の変化（自立・フレイル</w:t>
      </w:r>
      <w:r>
        <w:rPr>
          <w:rFonts w:hint="eastAsia"/>
          <w:vertAlign w:val="superscript"/>
        </w:rPr>
        <w:t>※</w:t>
      </w:r>
      <w:r>
        <w:rPr>
          <w:rStyle w:val="42"/>
          <w:rFonts w:hint="default"/>
        </w:rPr>
        <w:footnoteReference w:id="5"/>
      </w:r>
      <w:r>
        <w:rPr>
          <w:rFonts w:hint="eastAsia"/>
        </w:rPr>
        <w:t>・要支援・要介護）を連続的にとらえ支援することが必要です。</w:t>
      </w:r>
    </w:p>
    <w:p>
      <w:pPr>
        <w:pStyle w:val="0"/>
        <w:ind w:left="240" w:hanging="240" w:hangingChars="100"/>
        <w:jc w:val="both"/>
        <w:rPr>
          <w:rFonts w:hint="default"/>
        </w:rPr>
      </w:pPr>
      <w:r>
        <w:rPr>
          <w:rFonts w:hint="eastAsia"/>
        </w:rPr>
        <w:t>○　介護予防事業をより効果的に推進するため、介護保険データ等も活用しながら、ＰＤＣＡサイクルに沿って定期的に評価や改善をする必要があります。また、引き続き市医療職が関与し、関係事業との連携等により、効率的に事業を推進していくことが必要です。</w:t>
      </w:r>
    </w:p>
    <w:p>
      <w:pPr>
        <w:pStyle w:val="0"/>
        <w:ind w:left="240" w:hanging="240" w:hangingChars="100"/>
        <w:jc w:val="both"/>
        <w:rPr>
          <w:rFonts w:hint="default"/>
        </w:rPr>
      </w:pPr>
      <w:r>
        <w:rPr>
          <w:rFonts w:hint="eastAsia"/>
        </w:rPr>
        <w:t>○　特に、令和２年</w:t>
      </w:r>
      <w:r>
        <w:rPr>
          <w:rFonts w:hint="eastAsia"/>
        </w:rPr>
        <w:t>(2020</w:t>
      </w:r>
      <w:r>
        <w:rPr>
          <w:rFonts w:hint="eastAsia"/>
        </w:rPr>
        <w:t>年</w:t>
      </w:r>
      <w:r>
        <w:rPr>
          <w:rFonts w:hint="eastAsia"/>
        </w:rPr>
        <w:t>)</w:t>
      </w:r>
      <w:r>
        <w:rPr>
          <w:rFonts w:hint="eastAsia"/>
        </w:rPr>
        <w:t>４月に改正施行された高齢者の医療の確保に関する法律等に</w:t>
      </w:r>
    </w:p>
    <w:p>
      <w:pPr>
        <w:pStyle w:val="0"/>
        <w:ind w:left="240" w:leftChars="100"/>
        <w:jc w:val="both"/>
        <w:rPr>
          <w:rFonts w:hint="default"/>
        </w:rPr>
      </w:pPr>
      <w:r>
        <w:rPr>
          <w:rFonts w:hint="eastAsia"/>
        </w:rPr>
        <w:t>よる「高齢者の保健事業と介護予防の一体的な実施」に、新たに取り組む必要があります。</w:t>
      </w:r>
    </w:p>
    <w:p>
      <w:pPr>
        <w:pStyle w:val="0"/>
        <w:ind w:left="240" w:hanging="240" w:hangingChars="100"/>
        <w:jc w:val="both"/>
        <w:rPr>
          <w:rFonts w:hint="default"/>
        </w:rPr>
      </w:pPr>
      <w:r>
        <w:rPr>
          <w:rFonts w:hint="eastAsia"/>
        </w:rPr>
        <w:t>○　高齢者の社会参加は、介護予防や生きがいづくりにつながるため、ボランティア活動や就労的活動などをより一層促進する仕組みづくりが求められています。</w:t>
      </w:r>
    </w:p>
    <w:p>
      <w:pPr>
        <w:pStyle w:val="0"/>
        <w:ind w:left="240" w:hanging="240" w:hangingChars="100"/>
        <w:jc w:val="both"/>
        <w:rPr>
          <w:rFonts w:hint="default"/>
        </w:rPr>
      </w:pPr>
      <w:r>
        <w:rPr>
          <w:rFonts w:hint="eastAsia"/>
        </w:rPr>
        <w:t>○　また、引き続き地域の通いの場の創出など、外出機会を増やす取組や、気軽にスポーツができる環境づくりを進めることにより、閉じこもり予防や運動機能の維持・改善、社会参加促進を図ることが重要です。</w:t>
      </w:r>
    </w:p>
    <w:p>
      <w:pPr>
        <w:pStyle w:val="0"/>
        <w:ind w:left="240" w:hanging="240" w:hangingChars="100"/>
        <w:rPr>
          <w:rFonts w:hint="default"/>
        </w:rPr>
      </w:pPr>
    </w:p>
    <w:p>
      <w:pPr>
        <w:pStyle w:val="4"/>
        <w:ind w:left="39" w:leftChars="-99" w:hanging="277" w:hangingChars="99"/>
        <w:rPr>
          <w:rFonts w:hint="default"/>
          <w:highlight w:val="yellow"/>
        </w:rPr>
      </w:pPr>
      <w:bookmarkStart w:id="12" w:name="_Toc59007783"/>
      <w:r>
        <w:rPr>
          <w:rFonts w:hint="eastAsia" w:ascii="メイリオ" w:hAnsi="メイリオ" w:eastAsia="メイリオ"/>
          <w:b w:val="0"/>
          <w:sz w:val="28"/>
        </w:rPr>
        <w:t>（５）介護サービスの充実について</w:t>
      </w:r>
      <w:bookmarkEnd w:id="12"/>
    </w:p>
    <w:p>
      <w:pPr>
        <w:pStyle w:val="0"/>
        <w:ind w:left="240" w:hanging="240" w:hangingChars="100"/>
        <w:jc w:val="both"/>
        <w:rPr>
          <w:rFonts w:hint="default"/>
        </w:rPr>
      </w:pPr>
      <w:r>
        <w:rPr>
          <w:rFonts w:hint="eastAsia"/>
        </w:rPr>
        <w:t>○　介護現場で働く介護職員等の介護人材不足は、大きな課題であり、少子高齢化の影響で今後ますます加速することが見込まれるため、介護人材確保や業務効率化の取組が重要です。</w:t>
      </w:r>
    </w:p>
    <w:p>
      <w:pPr>
        <w:pStyle w:val="0"/>
        <w:ind w:left="240" w:hanging="240" w:hangingChars="100"/>
        <w:jc w:val="both"/>
        <w:rPr>
          <w:rFonts w:hint="default"/>
        </w:rPr>
      </w:pPr>
      <w:r>
        <w:rPr>
          <w:rFonts w:hint="eastAsia"/>
        </w:rPr>
        <w:t>○　介護離職の防止のため、介護に取り組む家族等への支援等、介護と仕事を両立できる環境づくりが求められています。</w:t>
      </w:r>
    </w:p>
    <w:p>
      <w:pPr>
        <w:pStyle w:val="0"/>
        <w:ind w:left="240" w:hanging="240" w:hangingChars="100"/>
        <w:jc w:val="both"/>
        <w:rPr>
          <w:rFonts w:hint="default"/>
        </w:rPr>
      </w:pPr>
      <w:r>
        <w:rPr>
          <w:rFonts w:hint="eastAsia"/>
        </w:rPr>
        <w:t>○　引き続き、関係機関との情報共有・課題検討などを行うとともに、高齢者のボランティア活動や就労的活動との連携についても、検討を進める必要があります。</w:t>
      </w:r>
    </w:p>
    <w:p>
      <w:pPr>
        <w:pStyle w:val="4"/>
        <w:ind w:left="39" w:leftChars="-99" w:hanging="277" w:hangingChars="99"/>
        <w:rPr>
          <w:rFonts w:hint="default" w:ascii="メイリオ" w:hAnsi="メイリオ" w:eastAsia="メイリオ"/>
          <w:b w:val="0"/>
          <w:sz w:val="28"/>
          <w:highlight w:val="yellow"/>
        </w:rPr>
      </w:pPr>
      <w:bookmarkStart w:id="13" w:name="_Toc59007784"/>
      <w:r>
        <w:rPr>
          <w:rFonts w:hint="eastAsia" w:ascii="メイリオ" w:hAnsi="メイリオ" w:eastAsia="メイリオ"/>
          <w:b w:val="0"/>
          <w:sz w:val="28"/>
        </w:rPr>
        <w:t>（６）安全、安心、快適に暮らせるまちづくりについて</w:t>
      </w:r>
      <w:bookmarkEnd w:id="13"/>
    </w:p>
    <w:p>
      <w:pPr>
        <w:pStyle w:val="0"/>
        <w:tabs>
          <w:tab w:val="left" w:leader="none" w:pos="360"/>
        </w:tabs>
        <w:autoSpaceDE w:val="0"/>
        <w:autoSpaceDN w:val="0"/>
        <w:adjustRightInd w:val="0"/>
        <w:ind w:left="240" w:hanging="240" w:hangingChars="100"/>
        <w:jc w:val="both"/>
        <w:rPr>
          <w:rFonts w:hint="default"/>
        </w:rPr>
      </w:pPr>
      <w:r>
        <w:rPr>
          <w:rFonts w:hint="eastAsia"/>
        </w:rPr>
        <w:t>○　病床の機能分化、特別養護老人ホームの待機、「介護離職ゼロ」の取組の推進や今後の介護需要などをふまえ、必要な介護サービス基盤の整備を進める必要があります。また、介護を受けながら在宅生活を継続できるように、家族介護者への支援の充実や在宅医療と在宅介護の連携の強化が求められています。</w:t>
      </w:r>
    </w:p>
    <w:p>
      <w:pPr>
        <w:pStyle w:val="0"/>
        <w:ind w:left="240" w:hanging="240" w:hangingChars="100"/>
        <w:jc w:val="both"/>
        <w:rPr>
          <w:rFonts w:hint="default"/>
        </w:rPr>
      </w:pPr>
      <w:r>
        <w:rPr>
          <w:rFonts w:hint="eastAsia"/>
        </w:rPr>
        <w:t>○　住宅型有料老人ホーム及びサービス付き高齢者向け住宅は、本市には併せて</w:t>
      </w:r>
      <w:r>
        <w:rPr>
          <w:rFonts w:hint="eastAsia"/>
        </w:rPr>
        <w:t>23</w:t>
      </w:r>
      <w:r>
        <w:rPr>
          <w:rFonts w:hint="eastAsia"/>
        </w:rPr>
        <w:t>か所あり、これらの住宅における介護サービス提供状況などの情報把握に努め、市民への情報提供等を進め、質の向上に向けた取組を進める必要があります。</w:t>
      </w:r>
    </w:p>
    <w:p>
      <w:pPr>
        <w:pStyle w:val="0"/>
        <w:ind w:left="240" w:hanging="240" w:hangingChars="100"/>
        <w:jc w:val="both"/>
        <w:rPr>
          <w:rFonts w:hint="default"/>
        </w:rPr>
      </w:pPr>
      <w:r>
        <w:rPr>
          <w:rFonts w:hint="eastAsia"/>
        </w:rPr>
        <w:t>○　近年の災害発生状況や感染症の流行をふまえ、非常時に備えた防災、感染症対策が重要です。</w:t>
      </w:r>
    </w:p>
    <w:p>
      <w:pPr>
        <w:pStyle w:val="0"/>
        <w:ind w:left="240" w:hanging="240" w:hangingChars="100"/>
        <w:rPr>
          <w:rFonts w:hint="default"/>
        </w:rPr>
      </w:pPr>
    </w:p>
    <w:p>
      <w:pPr>
        <w:pStyle w:val="4"/>
        <w:ind w:left="39" w:leftChars="-99" w:hanging="277" w:hangingChars="99"/>
        <w:rPr>
          <w:rFonts w:hint="default" w:ascii="メイリオ" w:hAnsi="メイリオ" w:eastAsia="メイリオ"/>
          <w:b w:val="0"/>
          <w:sz w:val="28"/>
          <w:highlight w:val="yellow"/>
        </w:rPr>
      </w:pPr>
      <w:bookmarkStart w:id="14" w:name="_Toc59007785"/>
      <w:r>
        <w:rPr>
          <w:rFonts w:hint="eastAsia" w:ascii="メイリオ" w:hAnsi="メイリオ" w:eastAsia="メイリオ"/>
          <w:b w:val="0"/>
          <w:sz w:val="28"/>
        </w:rPr>
        <w:t>（７）権利擁護の推進について</w:t>
      </w:r>
      <w:bookmarkEnd w:id="14"/>
    </w:p>
    <w:p>
      <w:pPr>
        <w:pStyle w:val="0"/>
        <w:tabs>
          <w:tab w:val="left" w:leader="none" w:pos="360"/>
        </w:tabs>
        <w:autoSpaceDE w:val="0"/>
        <w:autoSpaceDN w:val="0"/>
        <w:adjustRightInd w:val="0"/>
        <w:ind w:left="240" w:hanging="240" w:hangingChars="100"/>
        <w:jc w:val="both"/>
        <w:rPr>
          <w:rFonts w:hint="default"/>
        </w:rPr>
      </w:pPr>
      <w:r>
        <w:rPr>
          <w:rFonts w:hint="default"/>
        </w:rPr>
        <w:t>○</w:t>
      </w:r>
      <w:r>
        <w:rPr>
          <w:rFonts w:hint="eastAsia"/>
        </w:rPr>
        <w:t>　</w:t>
      </w:r>
      <w:r>
        <w:rPr>
          <w:rFonts w:hint="default"/>
        </w:rPr>
        <w:t>高齢者虐待については、「何が虐待にあたるのか」について、広く市民や地域関係者、介護サービス事業者等の理解を促進することにより、早期の気づきと相談を進めることが重要です。また、虐待事案が確認された場合は、市及び地域包括支援センターが中心となり、速やかな解決をめざして必要な対応を進めるとともに、困難な事案については関係機関の協力を得て取組を進めることが必要です。　</w:t>
      </w:r>
    </w:p>
    <w:p>
      <w:pPr>
        <w:pStyle w:val="0"/>
        <w:tabs>
          <w:tab w:val="left" w:leader="none" w:pos="360"/>
        </w:tabs>
        <w:autoSpaceDE w:val="0"/>
        <w:autoSpaceDN w:val="0"/>
        <w:adjustRightInd w:val="0"/>
        <w:ind w:left="240" w:hanging="240" w:hangingChars="100"/>
        <w:jc w:val="both"/>
        <w:rPr>
          <w:rFonts w:hint="default"/>
        </w:rPr>
      </w:pPr>
      <w:r>
        <w:rPr>
          <w:rFonts w:hint="default"/>
        </w:rPr>
        <w:t>　</w:t>
      </w:r>
      <w:r>
        <w:rPr>
          <w:rFonts w:hint="eastAsia"/>
        </w:rPr>
        <w:t>　</w:t>
      </w:r>
      <w:r>
        <w:rPr>
          <w:rFonts w:hint="default"/>
        </w:rPr>
        <w:t>併せて、虐待の背景となる認知症への理解不足の解消や、家族の介護負担軽減等を進める必要があります。</w:t>
      </w:r>
    </w:p>
    <w:p>
      <w:pPr>
        <w:pStyle w:val="0"/>
        <w:tabs>
          <w:tab w:val="left" w:leader="none" w:pos="360"/>
        </w:tabs>
        <w:autoSpaceDE w:val="0"/>
        <w:autoSpaceDN w:val="0"/>
        <w:adjustRightInd w:val="0"/>
        <w:ind w:left="240" w:hanging="240" w:hangingChars="100"/>
        <w:jc w:val="both"/>
        <w:rPr>
          <w:rFonts w:hint="default"/>
        </w:rPr>
      </w:pPr>
      <w:r>
        <w:rPr>
          <w:rFonts w:hint="default"/>
        </w:rPr>
        <w:t>○</w:t>
      </w:r>
      <w:r>
        <w:rPr>
          <w:rFonts w:hint="eastAsia"/>
        </w:rPr>
        <w:t>　</w:t>
      </w:r>
      <w:r>
        <w:rPr>
          <w:rFonts w:hint="default"/>
        </w:rPr>
        <w:t>成年後見制度については、制度内容や利用方法についての周知を図り、認知症等で判断能力が十分でないかたの利用と権利擁護を引き続き支援することが重要です。</w:t>
      </w:r>
    </w:p>
    <w:p>
      <w:pPr>
        <w:pStyle w:val="0"/>
        <w:ind w:left="240" w:leftChars="100"/>
        <w:jc w:val="both"/>
        <w:rPr>
          <w:rFonts w:hint="default"/>
        </w:rPr>
      </w:pPr>
      <w:r>
        <w:rPr>
          <w:rFonts w:hint="default"/>
        </w:rPr>
        <w:t>　</w:t>
      </w:r>
      <w:r>
        <w:rPr>
          <w:rFonts w:hint="default"/>
          <w:color w:val="000000" w:themeColor="text1"/>
        </w:rPr>
        <w:t>また、成年後見利用</w:t>
      </w:r>
      <w:r>
        <w:rPr>
          <w:rFonts w:hint="eastAsia"/>
          <w:color w:val="000000" w:themeColor="text1"/>
        </w:rPr>
        <w:t>の</w:t>
      </w:r>
      <w:r>
        <w:rPr>
          <w:rFonts w:hint="default"/>
          <w:color w:val="000000" w:themeColor="text1"/>
        </w:rPr>
        <w:t>ニーズの高まりが見込まれることから、</w:t>
      </w:r>
      <w:r>
        <w:rPr>
          <w:rFonts w:hint="eastAsia"/>
          <w:color w:val="000000" w:themeColor="text1"/>
        </w:rPr>
        <w:t>専門的な相談が受けられる体制整備と継続的な運営が可能な法人後見の担い手の確保が必要です。</w:t>
      </w:r>
    </w:p>
    <w:p>
      <w:pPr>
        <w:pStyle w:val="0"/>
        <w:tabs>
          <w:tab w:val="left" w:leader="none" w:pos="360"/>
        </w:tabs>
        <w:autoSpaceDE w:val="0"/>
        <w:autoSpaceDN w:val="0"/>
        <w:adjustRightInd w:val="0"/>
        <w:ind w:left="240" w:hanging="240" w:hangingChars="100"/>
        <w:jc w:val="both"/>
        <w:rPr>
          <w:rFonts w:hint="default"/>
        </w:rPr>
      </w:pPr>
      <w:r>
        <w:rPr>
          <w:rFonts w:hint="default"/>
        </w:rPr>
        <w:t>○</w:t>
      </w:r>
      <w:r>
        <w:rPr>
          <w:rFonts w:hint="eastAsia"/>
        </w:rPr>
        <w:t>　</w:t>
      </w:r>
      <w:r>
        <w:rPr>
          <w:rFonts w:hint="default"/>
        </w:rPr>
        <w:t>高齢者が、消費生活トラブルや還付金詐欺等の被害を受けることが増え、内容も多様化していることから、警察や消費生活センター等と連携して、地域包括支援センターでの相談対応や、地域の関係機関を通じた周知啓発に引き続き取り組むことが重要です。</w:t>
      </w:r>
    </w:p>
    <w:p>
      <w:pPr>
        <w:pStyle w:val="0"/>
        <w:rPr>
          <w:rFonts w:hint="default"/>
        </w:rPr>
      </w:pPr>
    </w:p>
    <w:p>
      <w:pPr>
        <w:pStyle w:val="2"/>
        <w:rPr>
          <w:rFonts w:hint="default"/>
        </w:rPr>
      </w:pPr>
      <w:bookmarkStart w:id="15" w:name="_Toc402170961"/>
      <w:bookmarkEnd w:id="15"/>
      <w:bookmarkStart w:id="16" w:name="_Toc417551024"/>
      <w:bookmarkEnd w:id="16"/>
      <w:bookmarkStart w:id="17" w:name="_Toc417551028"/>
      <w:bookmarkEnd w:id="17"/>
      <w:bookmarkStart w:id="18" w:name="_Toc417551033"/>
      <w:bookmarkEnd w:id="18"/>
      <w:bookmarkStart w:id="19" w:name="_Toc417551034"/>
      <w:bookmarkEnd w:id="19"/>
      <w:bookmarkStart w:id="20" w:name="_Toc45876027"/>
      <w:bookmarkEnd w:id="20"/>
      <w:bookmarkStart w:id="21" w:name="_Toc497929519"/>
      <w:bookmarkEnd w:id="21"/>
      <w:bookmarkStart w:id="22" w:name="_Toc512263428"/>
      <w:bookmarkEnd w:id="22"/>
      <w:bookmarkStart w:id="23" w:name="_Toc512263441"/>
      <w:bookmarkEnd w:id="23"/>
      <w:bookmarkStart w:id="24" w:name="_Toc512263450"/>
      <w:bookmarkEnd w:id="24"/>
      <w:bookmarkStart w:id="25" w:name="_Toc512263451"/>
      <w:bookmarkEnd w:id="25"/>
      <w:bookmarkStart w:id="26" w:name="_Toc512263476"/>
      <w:bookmarkEnd w:id="26"/>
      <w:bookmarkStart w:id="27" w:name="_Toc512263477"/>
      <w:bookmarkEnd w:id="27"/>
      <w:bookmarkStart w:id="28" w:name="_Toc512263478"/>
      <w:bookmarkEnd w:id="28"/>
      <w:bookmarkStart w:id="29" w:name="_Toc512263479"/>
      <w:bookmarkEnd w:id="29"/>
      <w:bookmarkStart w:id="30" w:name="_Toc512263480"/>
      <w:bookmarkEnd w:id="30"/>
      <w:bookmarkStart w:id="31" w:name="_Toc512263481"/>
      <w:bookmarkEnd w:id="31"/>
      <w:bookmarkStart w:id="32" w:name="_Toc512263482"/>
      <w:bookmarkEnd w:id="32"/>
      <w:bookmarkStart w:id="33" w:name="_Toc512263483"/>
      <w:bookmarkEnd w:id="33"/>
      <w:bookmarkStart w:id="34" w:name="_Toc512263484"/>
      <w:bookmarkEnd w:id="34"/>
      <w:bookmarkStart w:id="35" w:name="_Toc512263485"/>
      <w:bookmarkEnd w:id="35"/>
      <w:bookmarkStart w:id="36" w:name="_Toc512263486"/>
      <w:bookmarkEnd w:id="36"/>
      <w:bookmarkStart w:id="37" w:name="_Toc512263487"/>
      <w:bookmarkEnd w:id="37"/>
      <w:bookmarkStart w:id="38" w:name="_Toc512263489"/>
      <w:bookmarkEnd w:id="38"/>
      <w:bookmarkStart w:id="39" w:name="_Toc512263490"/>
      <w:bookmarkEnd w:id="39"/>
      <w:bookmarkStart w:id="40" w:name="_Toc512263491"/>
      <w:bookmarkEnd w:id="40"/>
      <w:bookmarkStart w:id="41" w:name="_Toc512263492"/>
      <w:bookmarkEnd w:id="41"/>
      <w:bookmarkStart w:id="42" w:name="_Toc512263493"/>
      <w:bookmarkEnd w:id="42"/>
      <w:bookmarkStart w:id="43" w:name="_Toc512263494"/>
      <w:bookmarkEnd w:id="43"/>
      <w:bookmarkStart w:id="44" w:name="_Toc512263495"/>
      <w:bookmarkEnd w:id="44"/>
      <w:bookmarkStart w:id="45" w:name="_Toc512263496"/>
      <w:bookmarkEnd w:id="45"/>
      <w:bookmarkStart w:id="46" w:name="_Toc512263497"/>
      <w:bookmarkEnd w:id="46"/>
      <w:bookmarkStart w:id="47" w:name="_Toc512263498"/>
      <w:bookmarkEnd w:id="47"/>
      <w:bookmarkStart w:id="48" w:name="_Toc512263499"/>
      <w:bookmarkEnd w:id="48"/>
      <w:bookmarkStart w:id="49" w:name="_Toc512263502"/>
      <w:bookmarkEnd w:id="49"/>
      <w:bookmarkStart w:id="50" w:name="_Toc512263512"/>
      <w:bookmarkEnd w:id="50"/>
      <w:bookmarkStart w:id="51" w:name="_Toc512263519"/>
      <w:bookmarkEnd w:id="51"/>
    </w:p>
    <w:sectPr>
      <w:headerReference r:id="rId5" w:type="default"/>
      <w:footerReference r:id="rId6" w:type="default"/>
      <w:pgSz w:w="11906" w:h="16838"/>
      <w:pgMar w:top="1440" w:right="1080" w:bottom="1440" w:left="1080" w:header="851" w:footer="454" w:gutter="0"/>
      <w:pgNumType w:start="76"/>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76</w:t>
        </w:r>
        <w:r>
          <w:rPr>
            <w:rFonts w:hint="eastAsia"/>
          </w:rPr>
          <w:fldChar w:fldCharType="end"/>
        </w:r>
      </w:p>
    </w:sdtContent>
  </w:sdt>
  <w:p>
    <w:pPr>
      <w:pStyle w:val="0"/>
      <w:rPr>
        <w:rFonts w:hint="eastAsia"/>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0"/>
        <w:rPr>
          <w:rFonts w:hint="default"/>
          <w:sz w:val="18"/>
        </w:rPr>
      </w:pPr>
      <w:r>
        <w:rPr>
          <w:rFonts w:hint="eastAsia"/>
          <w:sz w:val="18"/>
        </w:rPr>
        <w:t>※</w:t>
      </w:r>
      <w:r>
        <w:rPr>
          <w:rStyle w:val="42"/>
          <w:rFonts w:hint="default"/>
          <w:sz w:val="18"/>
          <w:vertAlign w:val="baseline"/>
        </w:rPr>
        <w:footnoteRef/>
      </w:r>
      <w:r>
        <w:rPr>
          <w:rFonts w:hint="eastAsia"/>
          <w:sz w:val="18"/>
        </w:rPr>
        <w:t>　</w:t>
      </w:r>
      <w:r>
        <w:rPr>
          <w:rFonts w:hint="eastAsia"/>
          <w:color w:val="000000" w:themeColor="text1"/>
          <w:sz w:val="18"/>
        </w:rPr>
        <w:t>本人が自らの意思を伝えられない状態になる前に備える治療計画。本人とその家族、医師・看護師・介護従事者が話し合いを通じて、本人の意思を反映した医療・ケアの開始・不開始・変更な</w:t>
      </w:r>
      <w:r>
        <w:rPr>
          <w:rFonts w:hint="eastAsia"/>
          <w:sz w:val="18"/>
        </w:rPr>
        <w:t>どを行う。</w:t>
      </w:r>
    </w:p>
  </w:footnote>
  <w:footnote w:id="2">
    <w:p>
      <w:pPr>
        <w:pStyle w:val="55"/>
        <w:rPr>
          <w:rFonts w:hint="default"/>
        </w:rPr>
      </w:pPr>
      <w:r>
        <w:rPr>
          <w:rFonts w:hint="eastAsia"/>
          <w:sz w:val="18"/>
        </w:rPr>
        <w:t>※</w:t>
      </w:r>
      <w:r>
        <w:rPr>
          <w:rStyle w:val="42"/>
          <w:rFonts w:hint="default"/>
          <w:sz w:val="18"/>
          <w:vertAlign w:val="baseline"/>
        </w:rPr>
        <w:footnoteRef/>
      </w:r>
      <w:r>
        <w:rPr>
          <w:rFonts w:hint="eastAsia"/>
          <w:sz w:val="18"/>
        </w:rPr>
        <w:t>　</w:t>
      </w:r>
      <w:r>
        <w:rPr>
          <w:rFonts w:hint="default"/>
          <w:color w:val="000000"/>
          <w:sz w:val="18"/>
        </w:rPr>
        <w:t>在宅医療を提供している医療機関と連携し、あらかじめ緊急時の入院先とする希望を届け出ていた患者の急変時などに</w:t>
      </w:r>
      <w:r>
        <w:rPr>
          <w:rFonts w:hint="default"/>
          <w:color w:val="000000"/>
          <w:sz w:val="18"/>
        </w:rPr>
        <w:t>24</w:t>
      </w:r>
      <w:r>
        <w:rPr>
          <w:rFonts w:hint="default"/>
          <w:color w:val="000000"/>
          <w:sz w:val="18"/>
        </w:rPr>
        <w:t>時間体制で対応し、必要があれば入院を受け入れる病院。</w:t>
      </w:r>
    </w:p>
  </w:footnote>
  <w:footnote w:id="3">
    <w:p>
      <w:pPr>
        <w:pStyle w:val="55"/>
        <w:rPr>
          <w:rFonts w:hint="default"/>
        </w:rPr>
      </w:pPr>
      <w:r>
        <w:rPr>
          <w:rFonts w:hint="eastAsia"/>
          <w:sz w:val="18"/>
        </w:rPr>
        <w:t>※</w:t>
      </w:r>
      <w:r>
        <w:rPr>
          <w:rStyle w:val="42"/>
          <w:rFonts w:hint="default"/>
          <w:sz w:val="18"/>
          <w:vertAlign w:val="baseline"/>
        </w:rPr>
        <w:footnoteRef/>
      </w:r>
      <w:r>
        <w:rPr>
          <w:rFonts w:hint="eastAsia"/>
          <w:sz w:val="18"/>
        </w:rPr>
        <w:t>　将来人口推計をもとに</w:t>
      </w:r>
      <w:r>
        <w:rPr>
          <w:rFonts w:hint="default"/>
          <w:sz w:val="18"/>
        </w:rPr>
        <w:t>2025</w:t>
      </w:r>
      <w:r>
        <w:rPr>
          <w:rFonts w:hint="default"/>
          <w:sz w:val="18"/>
        </w:rPr>
        <w:t>年に必要となる病床数（病床の必要量）を４つの医療機能</w:t>
      </w:r>
      <w:r>
        <w:rPr>
          <w:rFonts w:hint="eastAsia"/>
          <w:sz w:val="18"/>
        </w:rPr>
        <w:t>（高度急性期、急性期、回復期、慢性期）</w:t>
      </w:r>
      <w:r>
        <w:rPr>
          <w:rFonts w:hint="default"/>
          <w:sz w:val="18"/>
        </w:rPr>
        <w:t>ごとに推計した上で、地域の医療関係者の協議を通じて病床の機能分化と連携を進め、効率的な医療提供体制を実現する取組み</w:t>
      </w:r>
      <w:r>
        <w:rPr>
          <w:rFonts w:hint="eastAsia"/>
          <w:sz w:val="18"/>
        </w:rPr>
        <w:t>のこと。</w:t>
      </w:r>
    </w:p>
  </w:footnote>
  <w:footnote w:id="4">
    <w:p>
      <w:pPr>
        <w:pStyle w:val="55"/>
        <w:rPr>
          <w:rFonts w:hint="default"/>
        </w:rPr>
      </w:pPr>
      <w:r>
        <w:rPr>
          <w:rFonts w:hint="eastAsia"/>
          <w:sz w:val="18"/>
        </w:rPr>
        <w:t>※</w:t>
      </w:r>
      <w:r>
        <w:rPr>
          <w:rStyle w:val="42"/>
          <w:rFonts w:hint="default"/>
          <w:sz w:val="18"/>
          <w:vertAlign w:val="baseline"/>
        </w:rPr>
        <w:footnoteRef/>
      </w:r>
      <w:r>
        <w:rPr>
          <w:rFonts w:hint="eastAsia"/>
          <w:sz w:val="18"/>
        </w:rPr>
        <w:t>　一般病院における長期入院患者の増加に対応し、主として長期にわたり療養を必要とする患者を入院させるための療養環境を有する病床。</w:t>
      </w:r>
    </w:p>
  </w:footnote>
  <w:footnote w:id="5">
    <w:p>
      <w:pPr>
        <w:pStyle w:val="55"/>
        <w:rPr>
          <w:rFonts w:hint="default"/>
        </w:rPr>
      </w:pPr>
      <w:r>
        <w:rPr>
          <w:rFonts w:hint="eastAsia"/>
          <w:sz w:val="18"/>
        </w:rPr>
        <w:t>※</w:t>
      </w:r>
      <w:r>
        <w:rPr>
          <w:rStyle w:val="42"/>
          <w:rFonts w:hint="default"/>
          <w:sz w:val="18"/>
          <w:vertAlign w:val="baseline"/>
        </w:rPr>
        <w:footnoteRef/>
      </w:r>
      <w:r>
        <w:rPr>
          <w:rFonts w:hint="eastAsia"/>
          <w:sz w:val="18"/>
        </w:rPr>
        <w:t>　日本老年医学会が</w:t>
      </w:r>
      <w:r>
        <w:rPr>
          <w:rFonts w:hint="default"/>
          <w:sz w:val="18"/>
        </w:rPr>
        <w:t>2014</w:t>
      </w:r>
      <w:r>
        <w:rPr>
          <w:rFonts w:hint="default"/>
          <w:sz w:val="18"/>
        </w:rPr>
        <w:t>年に提唱した概念で、「</w:t>
      </w:r>
      <w:r>
        <w:rPr>
          <w:rFonts w:hint="default"/>
          <w:sz w:val="18"/>
        </w:rPr>
        <w:t>Frailty</w:t>
      </w:r>
      <w:r>
        <w:rPr>
          <w:rFonts w:hint="default"/>
          <w:sz w:val="18"/>
        </w:rPr>
        <w:t>（虚弱）」の日本語訳。健康な状態と要介護状態の中間に位置し、身体的機能や認知機能の低下が見られる状態のことを指すが、適切な治療や予防を行うことで要介護状態に進まずにすむ可能性があ</w:t>
      </w:r>
      <w:r>
        <w:rPr>
          <w:rFonts w:hint="eastAsia"/>
          <w:sz w:val="18"/>
        </w:rPr>
        <w:t>る</w:t>
      </w:r>
      <w:r>
        <w:rPr>
          <w:rFonts w:hint="default"/>
          <w:sz w:val="18"/>
        </w:rPr>
        <w:t>。</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notes" Target="footnotes.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9565</TotalTime>
  <Pages>4</Pages>
  <Words>8</Words>
  <Characters>4200</Characters>
  <Application>JUST Note</Application>
  <Lines>262</Lines>
  <Paragraphs>48</Paragraphs>
  <CharactersWithSpaces>4271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2020-12-25T09:00:41Z</dcterms:modified>
  <cp:revision>686</cp:revision>
</cp:coreProperties>
</file>