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Toc59007753"/>
      <w:r>
        <w:rPr>
          <w:rFonts w:hint="eastAsia"/>
        </w:rPr>
        <w:drawing>
          <wp:anchor distT="0" distB="0" distL="114300" distR="114300" simplePos="0" relativeHeight="2" behindDoc="0" locked="0" layoutInCell="1" hidden="0" allowOverlap="1">
            <wp:simplePos x="0" y="0"/>
            <wp:positionH relativeFrom="column">
              <wp:posOffset>0</wp:posOffset>
            </wp:positionH>
            <wp:positionV relativeFrom="paragraph">
              <wp:posOffset>-431800</wp:posOffset>
            </wp:positionV>
            <wp:extent cx="6188710" cy="807085"/>
            <wp:effectExtent l="0" t="0" r="0" b="0"/>
            <wp:wrapNone/>
            <wp:docPr id="1026" name="1-2.bmp"/>
            <a:graphic xmlns:a="http://schemas.openxmlformats.org/drawingml/2006/main">
              <a:graphicData uri="http://schemas.openxmlformats.org/drawingml/2006/picture">
                <pic:pic xmlns:pic="http://schemas.openxmlformats.org/drawingml/2006/picture">
                  <pic:nvPicPr>
                    <pic:cNvPr id="1026" name="1-2.bmp"/>
                    <pic:cNvPicPr/>
                  </pic:nvPicPr>
                  <pic:blipFill>
                    <a:blip r:embed="rId7"/>
                    <a:stretch>
                      <a:fillRect/>
                    </a:stretch>
                  </pic:blipFill>
                  <pic:spPr>
                    <a:xfrm>
                      <a:off x="0" y="0"/>
                      <a:ext cx="6188710" cy="807085"/>
                    </a:xfrm>
                    <a:prstGeom prst="rect">
                      <a:avLst/>
                    </a:prstGeom>
                  </pic:spPr>
                </pic:pic>
              </a:graphicData>
            </a:graphic>
          </wp:anchor>
        </w:drawing>
      </w:r>
      <w:r>
        <w:rPr>
          <w:rFonts w:hint="eastAsia"/>
        </w:rPr>
        <w:t>第２章　高齢者を取り巻く現状と課題</w:t>
      </w:r>
      <w:bookmarkEnd w:id="0"/>
    </w:p>
    <w:p>
      <w:pPr>
        <w:pStyle w:val="3"/>
        <w:ind w:left="0" w:leftChars="0"/>
        <w:rPr>
          <w:rFonts w:hint="default" w:ascii="メイリオ" w:hAnsi="メイリオ" w:eastAsia="メイリオ"/>
          <w:b w:val="1"/>
          <w:sz w:val="28"/>
          <w:u w:val="single" w:color="auto"/>
        </w:rPr>
      </w:pPr>
      <w:bookmarkStart w:id="1" w:name="_Toc59007754"/>
      <w:r>
        <w:rPr>
          <w:rFonts w:hint="eastAsia" w:ascii="メイリオ" w:hAnsi="メイリオ" w:eastAsia="メイリオ"/>
          <w:b w:val="1"/>
          <w:sz w:val="32"/>
          <w:u w:val="single" w:color="auto"/>
        </w:rPr>
        <w:t>１．高齢者の状況</w:t>
      </w:r>
      <w:bookmarkEnd w:id="1"/>
      <w:r>
        <w:rPr>
          <w:rFonts w:hint="eastAsia" w:ascii="メイリオ" w:hAnsi="メイリオ" w:eastAsia="メイリオ"/>
          <w:b w:val="1"/>
          <w:sz w:val="32"/>
          <w:u w:val="single" w:color="auto"/>
        </w:rPr>
        <w:t>　　　　　　　　　　　　　　　　　　　　　　　　　　　　</w:t>
      </w:r>
    </w:p>
    <w:p>
      <w:pPr>
        <w:pStyle w:val="4"/>
        <w:ind w:left="0" w:leftChars="0"/>
        <w:rPr>
          <w:rFonts w:hint="default" w:ascii="メイリオ" w:hAnsi="メイリオ" w:eastAsia="メイリオ"/>
          <w:b w:val="0"/>
          <w:sz w:val="28"/>
        </w:rPr>
      </w:pPr>
      <w:bookmarkStart w:id="2" w:name="_Toc59007755"/>
      <w:r>
        <w:rPr>
          <w:rFonts w:hint="eastAsia" w:ascii="メイリオ" w:hAnsi="メイリオ" w:eastAsia="メイリオ"/>
          <w:b w:val="0"/>
          <w:sz w:val="28"/>
        </w:rPr>
        <w:t>（１）高齢者人口の推移</w:t>
      </w:r>
      <w:bookmarkEnd w:id="2"/>
    </w:p>
    <w:p>
      <w:pPr>
        <w:pStyle w:val="0"/>
        <w:ind w:firstLine="240" w:firstLineChars="100"/>
        <w:jc w:val="both"/>
        <w:rPr>
          <w:rFonts w:hint="default"/>
          <w:color w:val="000000" w:themeColor="text1"/>
        </w:rPr>
      </w:pPr>
      <w:r>
        <w:rPr>
          <w:rFonts w:hint="eastAsia"/>
          <w:color w:val="000000" w:themeColor="text1"/>
        </w:rPr>
        <w:t>本市の人口は増加傾向にあり、令和２</w:t>
      </w:r>
      <w:r>
        <w:rPr>
          <w:rFonts w:hint="default"/>
          <w:color w:val="000000" w:themeColor="text1"/>
        </w:rPr>
        <w:t>年</w:t>
      </w:r>
      <w:r>
        <w:rPr>
          <w:rFonts w:hint="eastAsia"/>
          <w:color w:val="000000" w:themeColor="text1"/>
        </w:rPr>
        <w:t>(2020</w:t>
      </w:r>
      <w:r>
        <w:rPr>
          <w:rFonts w:hint="eastAsia"/>
          <w:color w:val="000000" w:themeColor="text1"/>
        </w:rPr>
        <w:t>年</w:t>
      </w:r>
      <w:r>
        <w:rPr>
          <w:rFonts w:hint="eastAsia"/>
          <w:color w:val="000000" w:themeColor="text1"/>
        </w:rPr>
        <w:t>)</w:t>
      </w:r>
      <w:r>
        <w:rPr>
          <w:rFonts w:hint="eastAsia"/>
          <w:color w:val="000000" w:themeColor="text1"/>
        </w:rPr>
        <w:t>９</w:t>
      </w:r>
      <w:r>
        <w:rPr>
          <w:rFonts w:hint="default"/>
          <w:color w:val="000000" w:themeColor="text1"/>
        </w:rPr>
        <w:t>月末現在で</w:t>
      </w:r>
      <w:r>
        <w:rPr>
          <w:rFonts w:hint="default"/>
          <w:color w:val="000000" w:themeColor="text1"/>
        </w:rPr>
        <w:t>138,572</w:t>
      </w:r>
      <w:r>
        <w:rPr>
          <w:rFonts w:hint="default"/>
          <w:color w:val="000000" w:themeColor="text1"/>
        </w:rPr>
        <w:t>人となっていま</w:t>
      </w:r>
    </w:p>
    <w:p>
      <w:pPr>
        <w:pStyle w:val="0"/>
        <w:jc w:val="both"/>
        <w:rPr>
          <w:rFonts w:hint="default"/>
        </w:rPr>
      </w:pPr>
      <w:r>
        <w:rPr>
          <w:rFonts w:hint="default"/>
          <w:color w:val="000000" w:themeColor="text1"/>
        </w:rPr>
        <w:t>す。</w:t>
      </w:r>
      <w:r>
        <w:rPr>
          <w:rFonts w:hint="eastAsia"/>
          <w:color w:val="000000" w:themeColor="text1"/>
        </w:rPr>
        <w:t>また、高齢化率・後期高齢化率については、本市は国より低い値で推</w:t>
      </w:r>
      <w:r>
        <w:rPr>
          <w:rFonts w:hint="eastAsia"/>
        </w:rPr>
        <w:t>移しており、平成</w:t>
      </w:r>
      <w:r>
        <w:rPr>
          <w:rFonts w:hint="eastAsia"/>
        </w:rPr>
        <w:t>2</w:t>
      </w:r>
      <w:r>
        <w:rPr>
          <w:rFonts w:hint="default"/>
        </w:rPr>
        <w:t>5</w:t>
      </w:r>
      <w:r>
        <w:rPr>
          <w:rFonts w:hint="default"/>
        </w:rPr>
        <w:t>年度</w:t>
      </w:r>
      <w:r>
        <w:rPr>
          <w:rFonts w:hint="eastAsia"/>
        </w:rPr>
        <w:t>(2013</w:t>
      </w:r>
      <w:r>
        <w:rPr>
          <w:rFonts w:hint="eastAsia"/>
        </w:rPr>
        <w:t>年度</w:t>
      </w:r>
      <w:r>
        <w:rPr>
          <w:rFonts w:hint="default"/>
        </w:rPr>
        <w:t>)</w:t>
      </w:r>
      <w:r>
        <w:rPr>
          <w:rFonts w:hint="default"/>
        </w:rPr>
        <w:t>と</w:t>
      </w:r>
      <w:r>
        <w:rPr>
          <w:rFonts w:hint="eastAsia"/>
        </w:rPr>
        <w:t>令和２</w:t>
      </w:r>
      <w:r>
        <w:rPr>
          <w:rFonts w:hint="default"/>
        </w:rPr>
        <w:t>年度</w:t>
      </w:r>
      <w:r>
        <w:rPr>
          <w:rFonts w:hint="eastAsia"/>
        </w:rPr>
        <w:t>(</w:t>
      </w:r>
      <w:r>
        <w:rPr>
          <w:rFonts w:hint="default"/>
        </w:rPr>
        <w:t>20</w:t>
      </w:r>
      <w:r>
        <w:rPr>
          <w:rFonts w:hint="eastAsia"/>
        </w:rPr>
        <w:t>20</w:t>
      </w:r>
      <w:r>
        <w:rPr>
          <w:rFonts w:hint="eastAsia"/>
        </w:rPr>
        <w:t>年度</w:t>
      </w:r>
      <w:r>
        <w:rPr>
          <w:rFonts w:hint="default"/>
        </w:rPr>
        <w:t>)</w:t>
      </w:r>
      <w:r>
        <w:rPr>
          <w:rFonts w:hint="default"/>
        </w:rPr>
        <w:t>の高齢化率を比較すると、国は</w:t>
      </w:r>
      <w:r>
        <w:rPr>
          <w:rFonts w:hint="default"/>
        </w:rPr>
        <w:t>3.6</w:t>
      </w:r>
      <w:r>
        <w:rPr>
          <w:rFonts w:hint="default"/>
        </w:rPr>
        <w:t>ポイント増であるのに対し、本市は</w:t>
      </w:r>
      <w:r>
        <w:rPr>
          <w:rFonts w:hint="default"/>
        </w:rPr>
        <w:t>2.9</w:t>
      </w:r>
      <w:r>
        <w:rPr>
          <w:rFonts w:hint="default"/>
        </w:rPr>
        <w:t>ポイント増となっており、本市の高齢化の速度は、国よりも遅い状況にあります</w:t>
      </w:r>
      <w:r>
        <w:rPr>
          <w:rFonts w:hint="eastAsia"/>
        </w:rPr>
        <w:t>。しかし、</w:t>
      </w:r>
      <w:r>
        <w:rPr>
          <w:rFonts w:hint="default"/>
        </w:rPr>
        <w:t>平成</w:t>
      </w:r>
      <w:r>
        <w:rPr>
          <w:rFonts w:hint="default"/>
        </w:rPr>
        <w:t>2</w:t>
      </w:r>
      <w:r>
        <w:rPr>
          <w:rFonts w:hint="eastAsia"/>
        </w:rPr>
        <w:t>5</w:t>
      </w:r>
      <w:r>
        <w:rPr>
          <w:rFonts w:hint="default"/>
        </w:rPr>
        <w:t>年度と</w:t>
      </w:r>
      <w:r>
        <w:rPr>
          <w:rFonts w:hint="eastAsia"/>
        </w:rPr>
        <w:t>令和２</w:t>
      </w:r>
      <w:r>
        <w:rPr>
          <w:rFonts w:hint="default"/>
        </w:rPr>
        <w:t>年度の後期高齢化率を比較すると、国は</w:t>
      </w:r>
      <w:r>
        <w:rPr>
          <w:rFonts w:hint="default"/>
        </w:rPr>
        <w:t>2.</w:t>
      </w:r>
      <w:r>
        <w:rPr>
          <w:rFonts w:hint="eastAsia"/>
        </w:rPr>
        <w:t>5</w:t>
      </w:r>
      <w:r>
        <w:rPr>
          <w:rFonts w:hint="default"/>
        </w:rPr>
        <w:t>ポイント増であるのに対し、本市は</w:t>
      </w:r>
      <w:r>
        <w:rPr>
          <w:rFonts w:hint="default"/>
        </w:rPr>
        <w:t>3.6</w:t>
      </w:r>
      <w:r>
        <w:rPr>
          <w:rFonts w:hint="default"/>
        </w:rPr>
        <w:t>ポイント増となっており、本市の後期高齢化の速度は、国よりも速い状況にあります。</w:t>
      </w:r>
    </w:p>
    <w:p>
      <w:pPr>
        <w:pStyle w:val="0"/>
        <w:rPr>
          <w:rFonts w:hint="default"/>
        </w:rPr>
      </w:pPr>
      <w:r>
        <w:rPr>
          <w:rFonts w:hint="default"/>
        </w:rPr>
        <w:drawing>
          <wp:anchor distT="0" distB="0" distL="114300" distR="114300" simplePos="0" relativeHeight="11" behindDoc="1" locked="0" layoutInCell="1" hidden="0" allowOverlap="1">
            <wp:simplePos x="0" y="0"/>
            <wp:positionH relativeFrom="column">
              <wp:posOffset>1905</wp:posOffset>
            </wp:positionH>
            <wp:positionV relativeFrom="paragraph">
              <wp:posOffset>228600</wp:posOffset>
            </wp:positionV>
            <wp:extent cx="6192520" cy="2739390"/>
            <wp:effectExtent l="0" t="0" r="0" b="0"/>
            <wp:wrapNone/>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8"/>
                    <a:stretch>
                      <a:fillRect/>
                    </a:stretch>
                  </pic:blipFill>
                  <pic:spPr>
                    <a:xfrm>
                      <a:off x="0" y="0"/>
                      <a:ext cx="6192520" cy="2739390"/>
                    </a:xfrm>
                    <a:prstGeom prst="rect">
                      <a:avLst/>
                    </a:prstGeom>
                    <a:noFill/>
                    <a:ln>
                      <a:noFill/>
                    </a:ln>
                  </pic:spPr>
                </pic:pic>
              </a:graphicData>
            </a:graphic>
          </wp:anchor>
        </w:drawing>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図表２：箕面市総人口・高齢者人口の推移</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r>
        <w:rPr>
          <w:rFonts w:hint="default" w:ascii="ＭＳ ゴシック" w:hAnsi="ＭＳ ゴシック" w:eastAsia="ＭＳ ゴシック"/>
          <w:sz w:val="21"/>
        </w:rPr>
        <w:drawing>
          <wp:anchor distT="0" distB="0" distL="114300" distR="114300" simplePos="0" relativeHeight="12" behindDoc="1" locked="0" layoutInCell="1" hidden="0" allowOverlap="1">
            <wp:simplePos x="0" y="0"/>
            <wp:positionH relativeFrom="column">
              <wp:posOffset>1905</wp:posOffset>
            </wp:positionH>
            <wp:positionV relativeFrom="paragraph">
              <wp:posOffset>76200</wp:posOffset>
            </wp:positionV>
            <wp:extent cx="6192520" cy="2647950"/>
            <wp:effectExtent l="0" t="0" r="0" b="0"/>
            <wp:wrapNone/>
            <wp:docPr id="1028" name="Picture 3"/>
            <a:graphic xmlns:a="http://schemas.openxmlformats.org/drawingml/2006/main">
              <a:graphicData uri="http://schemas.openxmlformats.org/drawingml/2006/picture">
                <pic:pic xmlns:pic="http://schemas.openxmlformats.org/drawingml/2006/picture">
                  <pic:nvPicPr>
                    <pic:cNvPr id="1028" name="Picture 3"/>
                    <pic:cNvPicPr>
                      <a:picLocks noChangeAspect="1" noChangeArrowheads="1"/>
                    </pic:cNvPicPr>
                  </pic:nvPicPr>
                  <pic:blipFill>
                    <a:blip r:embed="rId9"/>
                    <a:srcRect b="3001"/>
                    <a:stretch>
                      <a:fillRect/>
                    </a:stretch>
                  </pic:blipFill>
                  <pic:spPr>
                    <a:xfrm>
                      <a:off x="0" y="0"/>
                      <a:ext cx="6192520" cy="2647950"/>
                    </a:xfrm>
                    <a:prstGeom prst="rect">
                      <a:avLst/>
                    </a:prstGeom>
                    <a:noFill/>
                    <a:ln>
                      <a:noFill/>
                    </a:ln>
                  </pic:spPr>
                </pic:pic>
              </a:graphicData>
            </a:graphic>
          </wp:anchor>
        </w:drawing>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図表３：高齢化率・後期高齢化率の推移</w:t>
      </w:r>
    </w:p>
    <w:p>
      <w:pPr>
        <w:pStyle w:val="0"/>
        <w:jc w:val="center"/>
        <w:rPr>
          <w:rFonts w:hint="default" w:ascii="ＭＳ ゴシック" w:hAnsi="ＭＳ ゴシック" w:eastAsia="ＭＳ ゴシック"/>
          <w:sz w:val="21"/>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0"/>
        </w:rPr>
      </w:pPr>
    </w:p>
    <w:p>
      <w:pPr>
        <w:pStyle w:val="0"/>
        <w:rPr>
          <w:rFonts w:hint="default"/>
          <w:sz w:val="20"/>
        </w:rPr>
      </w:pPr>
    </w:p>
    <w:p>
      <w:pPr>
        <w:pStyle w:val="0"/>
        <w:ind w:right="106" w:rightChars="44" w:firstLine="400" w:firstLineChars="200"/>
        <w:rPr>
          <w:rFonts w:hint="default"/>
        </w:rPr>
      </w:pPr>
      <w:r>
        <w:rPr>
          <w:rFonts w:hint="eastAsia"/>
          <w:sz w:val="20"/>
        </w:rPr>
        <w:t>※箕面市は住民基本台帳（各年度９</w:t>
      </w:r>
      <w:r>
        <w:rPr>
          <w:rFonts w:hint="default"/>
          <w:sz w:val="20"/>
        </w:rPr>
        <w:t>月末）、全国は総務省統計局「人口推計」（各年</w:t>
      </w:r>
      <w:r>
        <w:rPr>
          <w:rFonts w:hint="eastAsia"/>
          <w:sz w:val="20"/>
        </w:rPr>
        <w:t>度</w:t>
      </w:r>
      <w:r>
        <w:rPr>
          <w:rFonts w:hint="default"/>
          <w:sz w:val="20"/>
        </w:rPr>
        <w:t>10</w:t>
      </w:r>
      <w:r>
        <w:rPr>
          <w:rFonts w:hint="default"/>
          <w:sz w:val="20"/>
        </w:rPr>
        <w:t>月</w:t>
      </w:r>
      <w:r>
        <w:rPr>
          <w:rFonts w:hint="eastAsia"/>
          <w:sz w:val="20"/>
        </w:rPr>
        <w:t>１</w:t>
      </w:r>
      <w:r>
        <w:rPr>
          <w:rFonts w:hint="default"/>
          <w:sz w:val="20"/>
        </w:rPr>
        <w:t>日）</w:t>
      </w:r>
    </w:p>
    <w:p>
      <w:pPr>
        <w:rPr>
          <w:rFonts w:hint="default" w:ascii="メイリオ" w:hAnsi="メイリオ" w:eastAsia="メイリオ"/>
          <w:sz w:val="28"/>
        </w:rPr>
        <w:sectPr>
          <w:headerReference r:id="rId5" w:type="default"/>
          <w:footerReference r:id="rId6" w:type="default"/>
          <w:pgSz w:w="11906" w:h="16838"/>
          <w:pgMar w:top="1440" w:right="1077" w:bottom="851" w:left="1077" w:header="851" w:footer="454" w:gutter="0"/>
          <w:pgNumType w:start="7"/>
          <w:cols w:space="720"/>
          <w:textDirection w:val="lrTb"/>
          <w:docGrid w:type="lines" w:linePitch="360"/>
        </w:sectPr>
      </w:pPr>
    </w:p>
    <w:p>
      <w:pPr>
        <w:pStyle w:val="0"/>
        <w:ind w:firstLine="240" w:firstLineChars="100"/>
        <w:jc w:val="both"/>
        <w:rPr>
          <w:rFonts w:hint="default"/>
        </w:rPr>
      </w:pPr>
      <w:r>
        <w:rPr>
          <w:rFonts w:hint="eastAsia"/>
        </w:rPr>
        <w:t>今後、国においては後期高齢者人口が増加していきますが、担い手である生産年齢人口（</w:t>
      </w:r>
      <w:r>
        <w:rPr>
          <w:rFonts w:hint="eastAsia"/>
        </w:rPr>
        <w:t>15</w:t>
      </w:r>
      <w:r>
        <w:rPr>
          <w:rFonts w:hint="eastAsia"/>
        </w:rPr>
        <w:t>～</w:t>
      </w:r>
      <w:r>
        <w:rPr>
          <w:rFonts w:hint="eastAsia"/>
        </w:rPr>
        <w:t>64</w:t>
      </w:r>
      <w:r>
        <w:rPr>
          <w:rFonts w:hint="eastAsia"/>
        </w:rPr>
        <w:t>歳人口）は全国的には減少することが予測されています。</w:t>
      </w:r>
    </w:p>
    <w:p>
      <w:pPr>
        <w:pStyle w:val="0"/>
        <w:ind w:firstLine="240" w:firstLineChars="100"/>
        <w:jc w:val="both"/>
        <w:rPr>
          <w:rFonts w:hint="default"/>
          <w:sz w:val="28"/>
        </w:rPr>
      </w:pPr>
      <w:r>
        <w:rPr>
          <w:rFonts w:hint="eastAsia"/>
        </w:rPr>
        <w:t>一方、本市では、生産年齢人口はほぼ横ばい状態となっていますが、後期高齢者人口は全国平均を上回って増加していくことが予測されます。</w:t>
      </w:r>
    </w:p>
    <w:p>
      <w:pPr>
        <w:pStyle w:val="0"/>
        <w:rPr>
          <w:rFonts w:hint="default"/>
        </w:rPr>
      </w:pPr>
    </w:p>
    <w:p>
      <w:pPr>
        <w:pStyle w:val="0"/>
        <w:jc w:val="center"/>
        <w:rPr>
          <w:rFonts w:hint="default"/>
        </w:rPr>
      </w:pPr>
      <w:r>
        <w:rPr>
          <w:rFonts w:hint="eastAsia" w:ascii="ＭＳ ゴシック" w:hAnsi="ＭＳ ゴシック" w:eastAsia="ＭＳ ゴシック"/>
          <w:sz w:val="21"/>
        </w:rPr>
        <w:t>図表４：生産年齢人口と後期高齢者人口の推移（令和２年</w:t>
      </w:r>
      <w:r>
        <w:rPr>
          <w:rFonts w:hint="eastAsia" w:ascii="ＭＳ ゴシック" w:hAnsi="ＭＳ ゴシック" w:eastAsia="ＭＳ ゴシック"/>
          <w:sz w:val="21"/>
        </w:rPr>
        <w:t>(2020</w:t>
      </w:r>
      <w:r>
        <w:rPr>
          <w:rFonts w:hint="eastAsia" w:ascii="ＭＳ ゴシック" w:hAnsi="ＭＳ ゴシック" w:eastAsia="ＭＳ ゴシック"/>
          <w:sz w:val="21"/>
        </w:rPr>
        <w:t>年</w:t>
      </w:r>
      <w:r>
        <w:rPr>
          <w:rFonts w:hint="eastAsia" w:ascii="ＭＳ ゴシック" w:hAnsi="ＭＳ ゴシック" w:eastAsia="ＭＳ ゴシック"/>
          <w:sz w:val="21"/>
        </w:rPr>
        <w:t>)</w:t>
      </w:r>
      <w:r>
        <w:rPr>
          <w:rFonts w:hint="eastAsia" w:ascii="ＭＳ ゴシック" w:hAnsi="ＭＳ ゴシック" w:eastAsia="ＭＳ ゴシック"/>
          <w:sz w:val="21"/>
        </w:rPr>
        <w:t>を</w:t>
      </w:r>
      <w:r>
        <w:rPr>
          <w:rFonts w:hint="eastAsia" w:ascii="ＭＳ ゴシック" w:hAnsi="ＭＳ ゴシック" w:eastAsia="ＭＳ ゴシック"/>
          <w:sz w:val="21"/>
        </w:rPr>
        <w:t>100</w:t>
      </w:r>
      <w:r>
        <w:rPr>
          <w:rFonts w:hint="eastAsia" w:ascii="ＭＳ ゴシック" w:hAnsi="ＭＳ ゴシック" w:eastAsia="ＭＳ ゴシック"/>
          <w:sz w:val="21"/>
        </w:rPr>
        <w:t>とした場合）</w:t>
      </w:r>
    </w:p>
    <w:p>
      <w:pPr>
        <w:pStyle w:val="0"/>
        <w:jc w:val="center"/>
        <w:rPr>
          <w:rFonts w:hint="default"/>
        </w:rPr>
      </w:pPr>
      <w:r>
        <w:rPr>
          <w:rFonts w:hint="default"/>
        </w:rPr>
        <w:drawing>
          <wp:inline distT="0" distB="0" distL="0" distR="0">
            <wp:extent cx="6141720" cy="3098165"/>
            <wp:effectExtent l="0" t="0" r="0" b="0"/>
            <wp:docPr id="1029" name="Picture 10"/>
            <a:graphic xmlns:a="http://schemas.openxmlformats.org/drawingml/2006/main">
              <a:graphicData uri="http://schemas.openxmlformats.org/drawingml/2006/picture">
                <pic:pic xmlns:pic="http://schemas.openxmlformats.org/drawingml/2006/picture">
                  <pic:nvPicPr>
                    <pic:cNvPr id="1029" name="Picture 10"/>
                    <pic:cNvPicPr>
                      <a:picLocks noChangeAspect="1" noChangeArrowheads="1"/>
                    </pic:cNvPicPr>
                  </pic:nvPicPr>
                  <pic:blipFill>
                    <a:blip r:embed="rId10"/>
                    <a:stretch>
                      <a:fillRect/>
                    </a:stretch>
                  </pic:blipFill>
                  <pic:spPr>
                    <a:xfrm>
                      <a:off x="0" y="0"/>
                      <a:ext cx="6141720" cy="3098165"/>
                    </a:xfrm>
                    <a:prstGeom prst="rect">
                      <a:avLst/>
                    </a:prstGeom>
                    <a:noFill/>
                    <a:ln>
                      <a:noFill/>
                    </a:ln>
                  </pic:spPr>
                </pic:pic>
              </a:graphicData>
            </a:graphic>
          </wp:inline>
        </w:drawing>
      </w:r>
    </w:p>
    <w:p>
      <w:pPr>
        <w:pStyle w:val="0"/>
        <w:jc w:val="center"/>
        <w:rPr>
          <w:rFonts w:hint="default"/>
        </w:rPr>
      </w:pPr>
      <w:r>
        <w:rPr>
          <w:rFonts w:hint="default"/>
        </w:rPr>
        <w:drawing>
          <wp:inline distT="0" distB="0" distL="0" distR="0">
            <wp:extent cx="6151245" cy="3122930"/>
            <wp:effectExtent l="0" t="0" r="0" b="0"/>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11"/>
                    <a:stretch>
                      <a:fillRect/>
                    </a:stretch>
                  </pic:blipFill>
                  <pic:spPr>
                    <a:xfrm>
                      <a:off x="0" y="0"/>
                      <a:ext cx="6151245" cy="3122930"/>
                    </a:xfrm>
                    <a:prstGeom prst="rect">
                      <a:avLst/>
                    </a:prstGeom>
                    <a:noFill/>
                    <a:ln>
                      <a:noFill/>
                    </a:ln>
                  </pic:spPr>
                </pic:pic>
              </a:graphicData>
            </a:graphic>
          </wp:inline>
        </w:drawing>
      </w:r>
    </w:p>
    <w:p>
      <w:pPr>
        <w:pStyle w:val="0"/>
        <w:ind w:firstLine="200" w:firstLineChars="100"/>
        <w:jc w:val="both"/>
        <w:rPr>
          <w:rFonts w:hint="default"/>
          <w:sz w:val="20"/>
        </w:rPr>
      </w:pPr>
      <w:r>
        <w:rPr>
          <w:rFonts w:hint="eastAsia"/>
          <w:sz w:val="20"/>
        </w:rPr>
        <w:t>※全国：日本の将来推計人口（平成</w:t>
      </w:r>
      <w:r>
        <w:rPr>
          <w:rFonts w:hint="default"/>
          <w:sz w:val="20"/>
        </w:rPr>
        <w:t>29</w:t>
      </w:r>
      <w:r>
        <w:rPr>
          <w:rFonts w:hint="default"/>
          <w:sz w:val="20"/>
        </w:rPr>
        <w:t>年</w:t>
      </w:r>
      <w:r>
        <w:rPr>
          <w:rFonts w:hint="eastAsia"/>
          <w:sz w:val="20"/>
        </w:rPr>
        <w:t>(2017</w:t>
      </w:r>
      <w:r>
        <w:rPr>
          <w:rFonts w:hint="eastAsia"/>
          <w:sz w:val="20"/>
        </w:rPr>
        <w:t>年</w:t>
      </w:r>
      <w:r>
        <w:rPr>
          <w:rFonts w:hint="eastAsia"/>
          <w:sz w:val="20"/>
        </w:rPr>
        <w:t>)</w:t>
      </w:r>
      <w:r>
        <w:rPr>
          <w:rFonts w:hint="default"/>
          <w:sz w:val="20"/>
        </w:rPr>
        <w:t>推計）の出生中位（死亡中位）推計結果</w:t>
      </w:r>
      <w:r>
        <w:rPr>
          <w:rFonts w:hint="eastAsia"/>
          <w:sz w:val="20"/>
        </w:rPr>
        <w:t>（各年</w:t>
      </w:r>
      <w:r>
        <w:rPr>
          <w:rFonts w:hint="eastAsia"/>
          <w:sz w:val="20"/>
        </w:rPr>
        <w:t>10</w:t>
      </w:r>
      <w:r>
        <w:rPr>
          <w:rFonts w:hint="eastAsia"/>
          <w:sz w:val="20"/>
        </w:rPr>
        <w:t>月１</w:t>
      </w:r>
    </w:p>
    <w:p>
      <w:pPr>
        <w:pStyle w:val="0"/>
        <w:ind w:firstLine="400" w:firstLineChars="200"/>
        <w:jc w:val="both"/>
        <w:rPr>
          <w:rFonts w:hint="default"/>
          <w:sz w:val="20"/>
        </w:rPr>
      </w:pPr>
      <w:r>
        <w:rPr>
          <w:rFonts w:hint="eastAsia"/>
          <w:sz w:val="20"/>
        </w:rPr>
        <w:t>日）</w:t>
      </w:r>
      <w:r>
        <w:rPr>
          <w:rFonts w:hint="default"/>
          <w:sz w:val="20"/>
        </w:rPr>
        <w:t>を</w:t>
      </w:r>
      <w:r>
        <w:rPr>
          <w:rFonts w:hint="eastAsia"/>
          <w:sz w:val="20"/>
        </w:rPr>
        <w:t>もと</w:t>
      </w:r>
      <w:r>
        <w:rPr>
          <w:rFonts w:hint="default"/>
          <w:sz w:val="20"/>
        </w:rPr>
        <w:t>に算出</w:t>
      </w:r>
    </w:p>
    <w:p>
      <w:pPr>
        <w:pStyle w:val="0"/>
        <w:ind w:firstLine="200" w:firstLineChars="100"/>
        <w:jc w:val="both"/>
        <w:rPr>
          <w:rFonts w:hint="default"/>
          <w:sz w:val="20"/>
        </w:rPr>
      </w:pPr>
      <w:r>
        <w:rPr>
          <w:rFonts w:hint="eastAsia"/>
          <w:sz w:val="20"/>
        </w:rPr>
        <w:t>※</w:t>
      </w:r>
      <w:r>
        <w:rPr>
          <w:rFonts w:hint="eastAsia"/>
          <w:color w:val="000000" w:themeColor="text1"/>
          <w:sz w:val="20"/>
        </w:rPr>
        <w:t>箕面市：箕面市人口ビジョン人口推計Ⅱ</w:t>
      </w:r>
    </w:p>
    <w:p>
      <w:pPr>
        <w:pStyle w:val="0"/>
        <w:rPr>
          <w:rFonts w:hint="default"/>
        </w:rPr>
      </w:pPr>
    </w:p>
    <w:p>
      <w:pPr>
        <w:rPr>
          <w:rFonts w:hint="default" w:ascii="メイリオ" w:hAnsi="メイリオ" w:eastAsia="メイリオ"/>
          <w:sz w:val="28"/>
        </w:rPr>
        <w:sectPr>
          <w:pgSz w:w="11906" w:h="16838"/>
          <w:pgMar w:top="1440" w:right="1080" w:bottom="1440" w:left="1080" w:header="851" w:footer="454" w:gutter="0"/>
          <w:cols w:space="720"/>
          <w:textDirection w:val="lrTb"/>
          <w:docGrid w:type="lines" w:linePitch="360"/>
        </w:sectPr>
      </w:pPr>
    </w:p>
    <w:p>
      <w:pPr>
        <w:pStyle w:val="4"/>
        <w:ind w:left="0" w:leftChars="0"/>
        <w:rPr>
          <w:rFonts w:hint="default" w:ascii="メイリオ" w:hAnsi="メイリオ" w:eastAsia="メイリオ"/>
          <w:b w:val="0"/>
          <w:sz w:val="28"/>
        </w:rPr>
      </w:pPr>
      <w:bookmarkStart w:id="3" w:name="_Toc59007756"/>
      <w:r>
        <w:rPr>
          <w:rFonts w:hint="eastAsia" w:ascii="メイリオ" w:hAnsi="メイリオ" w:eastAsia="メイリオ"/>
          <w:b w:val="0"/>
          <w:sz w:val="28"/>
        </w:rPr>
        <w:t>（２）要支援・要介護認定者数の推移</w:t>
      </w:r>
      <w:bookmarkEnd w:id="3"/>
    </w:p>
    <w:p>
      <w:pPr>
        <w:pStyle w:val="0"/>
        <w:ind w:firstLine="240" w:firstLineChars="100"/>
        <w:jc w:val="both"/>
        <w:rPr>
          <w:rFonts w:hint="default"/>
        </w:rPr>
      </w:pPr>
      <w:r>
        <w:rPr>
          <w:rFonts w:hint="eastAsia"/>
        </w:rPr>
        <w:t>要支援・要介護認定者数は、</w:t>
      </w:r>
      <w:r>
        <w:rPr>
          <w:rFonts w:hint="eastAsia"/>
          <w:color w:val="000000" w:themeColor="text1"/>
        </w:rPr>
        <w:t>平成</w:t>
      </w:r>
      <w:r>
        <w:rPr>
          <w:rFonts w:hint="eastAsia"/>
          <w:color w:val="000000" w:themeColor="text1"/>
        </w:rPr>
        <w:t>27</w:t>
      </w:r>
      <w:r>
        <w:rPr>
          <w:rFonts w:hint="eastAsia"/>
          <w:color w:val="000000" w:themeColor="text1"/>
        </w:rPr>
        <w:t>年度</w:t>
      </w:r>
      <w:r>
        <w:rPr>
          <w:rFonts w:hint="eastAsia"/>
          <w:color w:val="000000" w:themeColor="text1"/>
        </w:rPr>
        <w:t>(</w:t>
      </w:r>
      <w:r>
        <w:rPr>
          <w:rFonts w:hint="eastAsia"/>
        </w:rPr>
        <w:t>2015</w:t>
      </w:r>
      <w:r>
        <w:rPr>
          <w:rFonts w:hint="eastAsia"/>
        </w:rPr>
        <w:t>年度</w:t>
      </w:r>
      <w:r>
        <w:rPr>
          <w:rFonts w:hint="eastAsia"/>
        </w:rPr>
        <w:t>)</w:t>
      </w:r>
      <w:r>
        <w:rPr>
          <w:rFonts w:hint="eastAsia"/>
          <w:color w:val="000000" w:themeColor="text1"/>
        </w:rPr>
        <w:t>から総合事業を開始し、要支援者が事業対象者に移行したため、平成</w:t>
      </w:r>
      <w:r>
        <w:rPr>
          <w:rFonts w:hint="eastAsia"/>
          <w:color w:val="000000" w:themeColor="text1"/>
        </w:rPr>
        <w:t>28</w:t>
      </w:r>
      <w:r>
        <w:rPr>
          <w:rFonts w:hint="eastAsia"/>
          <w:color w:val="000000" w:themeColor="text1"/>
        </w:rPr>
        <w:t>年度</w:t>
      </w:r>
      <w:r>
        <w:rPr>
          <w:rFonts w:hint="eastAsia"/>
          <w:color w:val="000000" w:themeColor="text1"/>
        </w:rPr>
        <w:t>(</w:t>
      </w:r>
      <w:r>
        <w:rPr>
          <w:rFonts w:hint="eastAsia"/>
        </w:rPr>
        <w:t>2016</w:t>
      </w:r>
      <w:r>
        <w:rPr>
          <w:rFonts w:hint="eastAsia"/>
        </w:rPr>
        <w:t>年度</w:t>
      </w:r>
      <w:r>
        <w:rPr>
          <w:rFonts w:hint="eastAsia"/>
        </w:rPr>
        <w:t>)</w:t>
      </w:r>
      <w:r>
        <w:rPr>
          <w:rFonts w:hint="eastAsia"/>
          <w:color w:val="000000" w:themeColor="text1"/>
        </w:rPr>
        <w:t>には減少に転</w:t>
      </w:r>
      <w:r>
        <w:rPr>
          <w:rFonts w:hint="eastAsia"/>
        </w:rPr>
        <w:t>じていますが、それ以降は増加傾向となっています。</w:t>
      </w:r>
    </w:p>
    <w:p>
      <w:pPr>
        <w:pStyle w:val="0"/>
        <w:rPr>
          <w:rFonts w:hint="default"/>
        </w:rPr>
      </w:pPr>
      <w:r>
        <w:rPr>
          <w:rFonts w:hint="default"/>
        </w:rPr>
        <w:drawing>
          <wp:anchor distT="0" distB="0" distL="114300" distR="114300" simplePos="0" relativeHeight="7" behindDoc="1" locked="0" layoutInCell="1" hidden="0" allowOverlap="1">
            <wp:simplePos x="0" y="0"/>
            <wp:positionH relativeFrom="column">
              <wp:posOffset>0</wp:posOffset>
            </wp:positionH>
            <wp:positionV relativeFrom="paragraph">
              <wp:posOffset>222250</wp:posOffset>
            </wp:positionV>
            <wp:extent cx="6192520" cy="2816225"/>
            <wp:effectExtent l="0" t="0" r="0" b="0"/>
            <wp:wrapNone/>
            <wp:docPr id="1031" name="Picture 12"/>
            <a:graphic xmlns:a="http://schemas.openxmlformats.org/drawingml/2006/main">
              <a:graphicData uri="http://schemas.openxmlformats.org/drawingml/2006/picture">
                <pic:pic xmlns:pic="http://schemas.openxmlformats.org/drawingml/2006/picture">
                  <pic:nvPicPr>
                    <pic:cNvPr id="1031" name="Picture 12"/>
                    <pic:cNvPicPr>
                      <a:picLocks noChangeAspect="1" noChangeArrowheads="1"/>
                    </pic:cNvPicPr>
                  </pic:nvPicPr>
                  <pic:blipFill>
                    <a:blip r:embed="rId12"/>
                    <a:stretch>
                      <a:fillRect/>
                    </a:stretch>
                  </pic:blipFill>
                  <pic:spPr>
                    <a:xfrm>
                      <a:off x="0" y="0"/>
                      <a:ext cx="6192520" cy="2816225"/>
                    </a:xfrm>
                    <a:prstGeom prst="rect">
                      <a:avLst/>
                    </a:prstGeom>
                    <a:noFill/>
                    <a:ln>
                      <a:noFill/>
                    </a:ln>
                  </pic:spPr>
                </pic:pic>
              </a:graphicData>
            </a:graphic>
          </wp:anchor>
        </w:drawing>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図表５：箕面市要支援・要介護認定者数の推移（第２号被保険者含む）</w:t>
      </w:r>
    </w:p>
    <w:p>
      <w:pPr>
        <w:pStyle w:val="0"/>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106" w:rightChars="44" w:firstLine="200" w:firstLineChars="100"/>
        <w:rPr>
          <w:rFonts w:hint="default"/>
        </w:rPr>
      </w:pPr>
      <w:r>
        <w:rPr>
          <w:rFonts w:hint="eastAsia"/>
          <w:sz w:val="20"/>
        </w:rPr>
        <w:t>※各年度３</w:t>
      </w:r>
      <w:r>
        <w:rPr>
          <w:rFonts w:hint="default"/>
          <w:sz w:val="20"/>
        </w:rPr>
        <w:t>月末</w:t>
      </w:r>
    </w:p>
    <w:p>
      <w:pPr>
        <w:pStyle w:val="0"/>
        <w:rPr>
          <w:rFonts w:hint="default"/>
        </w:rPr>
      </w:pPr>
    </w:p>
    <w:p>
      <w:pPr>
        <w:pStyle w:val="0"/>
        <w:ind w:firstLine="240" w:firstLineChars="100"/>
        <w:jc w:val="both"/>
        <w:rPr>
          <w:rFonts w:hint="default"/>
          <w:color w:val="000000" w:themeColor="text1"/>
        </w:rPr>
      </w:pPr>
      <w:r>
        <w:rPr>
          <w:rFonts w:hint="eastAsia"/>
          <w:color w:val="000000" w:themeColor="text1"/>
        </w:rPr>
        <w:t>要支援・要介護認定者の内訳について、令和２年</w:t>
      </w:r>
      <w:r>
        <w:rPr>
          <w:rFonts w:hint="eastAsia"/>
          <w:color w:val="000000" w:themeColor="text1"/>
        </w:rPr>
        <w:t>(2020</w:t>
      </w:r>
      <w:r>
        <w:rPr>
          <w:rFonts w:hint="eastAsia"/>
          <w:color w:val="000000" w:themeColor="text1"/>
        </w:rPr>
        <w:t>年</w:t>
      </w:r>
      <w:r>
        <w:rPr>
          <w:rFonts w:hint="eastAsia"/>
          <w:color w:val="000000" w:themeColor="text1"/>
        </w:rPr>
        <w:t>)</w:t>
      </w:r>
      <w:r>
        <w:rPr>
          <w:rFonts w:hint="eastAsia"/>
          <w:color w:val="000000" w:themeColor="text1"/>
        </w:rPr>
        <w:t>３月末時点で、軽度認定者（要支援１・２及び要介護１）が</w:t>
      </w:r>
      <w:r>
        <w:rPr>
          <w:rFonts w:hint="eastAsia"/>
          <w:color w:val="000000" w:themeColor="text1"/>
        </w:rPr>
        <w:t>47.3</w:t>
      </w:r>
      <w:r>
        <w:rPr>
          <w:rFonts w:hint="eastAsia"/>
          <w:color w:val="000000" w:themeColor="text1"/>
        </w:rPr>
        <w:t>％、中度認定者（要介護２・３）が</w:t>
      </w:r>
      <w:r>
        <w:rPr>
          <w:rFonts w:hint="eastAsia"/>
          <w:color w:val="000000" w:themeColor="text1"/>
        </w:rPr>
        <w:t>31.0</w:t>
      </w:r>
      <w:r>
        <w:rPr>
          <w:rFonts w:hint="eastAsia"/>
          <w:color w:val="000000" w:themeColor="text1"/>
        </w:rPr>
        <w:t>％、重度認定者（要介護４・５）が</w:t>
      </w:r>
      <w:r>
        <w:rPr>
          <w:rFonts w:hint="eastAsia"/>
          <w:color w:val="000000" w:themeColor="text1"/>
        </w:rPr>
        <w:t>21.7</w:t>
      </w:r>
      <w:r>
        <w:rPr>
          <w:rFonts w:hint="eastAsia"/>
          <w:color w:val="000000" w:themeColor="text1"/>
        </w:rPr>
        <w:t>％となっています。</w:t>
      </w:r>
    </w:p>
    <w:p>
      <w:pPr>
        <w:pStyle w:val="0"/>
        <w:ind w:firstLine="240" w:firstLineChars="100"/>
        <w:jc w:val="both"/>
        <w:rPr>
          <w:rFonts w:hint="default"/>
          <w:color w:val="000000" w:themeColor="text1"/>
        </w:rPr>
      </w:pPr>
      <w:r>
        <w:rPr>
          <w:rFonts w:hint="eastAsia"/>
          <w:color w:val="000000" w:themeColor="text1"/>
        </w:rPr>
        <w:t>また、要支援・要介護認定者について、令和２年</w:t>
      </w:r>
      <w:r>
        <w:rPr>
          <w:rFonts w:hint="eastAsia"/>
          <w:color w:val="000000" w:themeColor="text1"/>
        </w:rPr>
        <w:t>(2020</w:t>
      </w:r>
      <w:r>
        <w:rPr>
          <w:rFonts w:hint="eastAsia"/>
          <w:color w:val="000000" w:themeColor="text1"/>
        </w:rPr>
        <w:t>年</w:t>
      </w:r>
      <w:r>
        <w:rPr>
          <w:rFonts w:hint="eastAsia"/>
          <w:color w:val="000000" w:themeColor="text1"/>
        </w:rPr>
        <w:t>)</w:t>
      </w:r>
      <w:r>
        <w:rPr>
          <w:rFonts w:hint="eastAsia"/>
          <w:color w:val="000000" w:themeColor="text1"/>
        </w:rPr>
        <w:t>３月末現在の要介護度別の構</w:t>
      </w:r>
    </w:p>
    <w:p>
      <w:pPr>
        <w:pStyle w:val="0"/>
        <w:ind w:right="-170" w:rightChars="-71"/>
        <w:jc w:val="both"/>
        <w:rPr>
          <w:rFonts w:hint="default"/>
          <w:color w:val="000000" w:themeColor="text1"/>
        </w:rPr>
      </w:pPr>
      <w:r>
        <w:rPr>
          <w:rFonts w:hint="eastAsia"/>
          <w:color w:val="000000" w:themeColor="text1"/>
        </w:rPr>
        <w:t>成比をみると、本市は、国及び大阪府に比べて、軽度認定者の構成比が低くなっています。</w:t>
      </w:r>
    </w:p>
    <w:p>
      <w:pPr>
        <w:pStyle w:val="0"/>
        <w:ind w:right="-170" w:rightChars="-71"/>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8" behindDoc="1" locked="0" layoutInCell="1" hidden="0" allowOverlap="1">
            <wp:simplePos x="0" y="0"/>
            <wp:positionH relativeFrom="column">
              <wp:posOffset>-2540</wp:posOffset>
            </wp:positionH>
            <wp:positionV relativeFrom="paragraph">
              <wp:posOffset>231775</wp:posOffset>
            </wp:positionV>
            <wp:extent cx="6184900" cy="2553335"/>
            <wp:effectExtent l="0" t="0" r="0" b="0"/>
            <wp:wrapNone/>
            <wp:docPr id="1032" name="Picture 13"/>
            <a:graphic xmlns:a="http://schemas.openxmlformats.org/drawingml/2006/main">
              <a:graphicData uri="http://schemas.openxmlformats.org/drawingml/2006/picture">
                <pic:pic xmlns:pic="http://schemas.openxmlformats.org/drawingml/2006/picture">
                  <pic:nvPicPr>
                    <pic:cNvPr id="1032" name="Picture 13"/>
                    <pic:cNvPicPr>
                      <a:picLocks noChangeAspect="1" noChangeArrowheads="1"/>
                    </pic:cNvPicPr>
                  </pic:nvPicPr>
                  <pic:blipFill>
                    <a:blip r:embed="rId13"/>
                    <a:stretch>
                      <a:fillRect/>
                    </a:stretch>
                  </pic:blipFill>
                  <pic:spPr>
                    <a:xfrm>
                      <a:off x="0" y="0"/>
                      <a:ext cx="6184900" cy="2553335"/>
                    </a:xfrm>
                    <a:prstGeom prst="rect">
                      <a:avLst/>
                    </a:prstGeom>
                    <a:noFill/>
                    <a:ln>
                      <a:noFill/>
                    </a:ln>
                  </pic:spPr>
                </pic:pic>
              </a:graphicData>
            </a:graphic>
          </wp:anchor>
        </w:drawing>
      </w:r>
      <w:r>
        <w:rPr>
          <w:rFonts w:hint="eastAsia" w:ascii="ＭＳ ゴシック" w:hAnsi="ＭＳ ゴシック" w:eastAsia="ＭＳ ゴシック"/>
          <w:sz w:val="21"/>
        </w:rPr>
        <w:t>図表６：箕面市要支援・要介護認定者数の内訳の推移</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106" w:rightChars="44" w:firstLine="200" w:firstLineChars="100"/>
        <w:rPr>
          <w:rFonts w:hint="default"/>
        </w:rPr>
        <w:sectPr>
          <w:pgSz w:w="11906" w:h="16838"/>
          <w:pgMar w:top="1440" w:right="1077" w:bottom="907" w:left="1077" w:header="851" w:footer="454" w:gutter="0"/>
          <w:cols w:space="720"/>
          <w:textDirection w:val="lrTb"/>
          <w:docGrid w:type="lines" w:linePitch="360"/>
        </w:sectPr>
      </w:pPr>
      <w:r>
        <w:rPr>
          <w:rFonts w:hint="eastAsia"/>
          <w:sz w:val="20"/>
        </w:rPr>
        <w:t>※各年度３</w:t>
      </w:r>
      <w:r>
        <w:rPr>
          <w:rFonts w:hint="default"/>
          <w:sz w:val="20"/>
        </w:rPr>
        <w:t>月末</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図表７：要支援・要介護認定者数の内訳（令和元年度</w:t>
      </w:r>
      <w:r>
        <w:rPr>
          <w:rFonts w:hint="eastAsia" w:ascii="ＭＳ ゴシック" w:hAnsi="ＭＳ ゴシック" w:eastAsia="ＭＳ ゴシック"/>
          <w:sz w:val="21"/>
        </w:rPr>
        <w:t>(</w:t>
      </w:r>
      <w:r>
        <w:rPr>
          <w:rFonts w:hint="default" w:ascii="ＭＳ ゴシック" w:hAnsi="ＭＳ ゴシック" w:eastAsia="ＭＳ ゴシック"/>
          <w:sz w:val="21"/>
        </w:rPr>
        <w:t>201</w:t>
      </w:r>
      <w:r>
        <w:rPr>
          <w:rFonts w:hint="eastAsia" w:ascii="ＭＳ ゴシック" w:hAnsi="ＭＳ ゴシック" w:eastAsia="ＭＳ ゴシック"/>
          <w:sz w:val="21"/>
        </w:rPr>
        <w:t>9</w:t>
      </w:r>
      <w:r>
        <w:rPr>
          <w:rFonts w:hint="eastAsia" w:ascii="ＭＳ ゴシック" w:hAnsi="ＭＳ ゴシック" w:eastAsia="ＭＳ ゴシック"/>
          <w:sz w:val="21"/>
        </w:rPr>
        <w:t>年度</w:t>
      </w:r>
      <w:r>
        <w:rPr>
          <w:rFonts w:hint="default" w:ascii="ＭＳ ゴシック" w:hAnsi="ＭＳ ゴシック" w:eastAsia="ＭＳ ゴシック"/>
          <w:sz w:val="21"/>
        </w:rPr>
        <w:t>)</w:t>
      </w:r>
      <w:r>
        <w:rPr>
          <w:rFonts w:hint="eastAsia" w:ascii="ＭＳ ゴシック" w:hAnsi="ＭＳ ゴシック" w:eastAsia="ＭＳ ゴシック"/>
          <w:sz w:val="21"/>
        </w:rPr>
        <w:t>３月末</w:t>
      </w:r>
      <w:r>
        <w:rPr>
          <w:rFonts w:hint="default" w:ascii="ＭＳ ゴシック" w:hAnsi="ＭＳ ゴシック" w:eastAsia="ＭＳ ゴシック"/>
          <w:sz w:val="21"/>
        </w:rPr>
        <w:t>）</w:t>
      </w:r>
    </w:p>
    <w:p>
      <w:pPr>
        <w:pStyle w:val="0"/>
        <w:jc w:val="center"/>
        <w:rPr>
          <w:rFonts w:hint="default" w:ascii="ＭＳ ゴシック" w:hAnsi="ＭＳ ゴシック" w:eastAsia="ＭＳ ゴシック"/>
          <w:sz w:val="21"/>
        </w:rPr>
      </w:pPr>
      <w:r>
        <w:rPr>
          <w:rFonts w:hint="default" w:ascii="ＭＳ ゴシック" w:hAnsi="ＭＳ ゴシック" w:eastAsia="ＭＳ ゴシック"/>
          <w:sz w:val="21"/>
        </w:rPr>
        <w:drawing>
          <wp:anchor distT="0" distB="0" distL="114300" distR="114300" simplePos="0" relativeHeight="9" behindDoc="1" locked="0" layoutInCell="1" hidden="0" allowOverlap="1">
            <wp:simplePos x="0" y="0"/>
            <wp:positionH relativeFrom="column">
              <wp:posOffset>5080</wp:posOffset>
            </wp:positionH>
            <wp:positionV relativeFrom="paragraph">
              <wp:posOffset>68580</wp:posOffset>
            </wp:positionV>
            <wp:extent cx="6188710" cy="2158365"/>
            <wp:effectExtent l="0" t="0" r="0" b="0"/>
            <wp:wrapNone/>
            <wp:docPr id="1033" name="Picture 14"/>
            <a:graphic xmlns:a="http://schemas.openxmlformats.org/drawingml/2006/main">
              <a:graphicData uri="http://schemas.openxmlformats.org/drawingml/2006/picture">
                <pic:pic xmlns:pic="http://schemas.openxmlformats.org/drawingml/2006/picture">
                  <pic:nvPicPr>
                    <pic:cNvPr id="1033" name="Picture 14"/>
                    <pic:cNvPicPr>
                      <a:picLocks noChangeAspect="1" noChangeArrowheads="1"/>
                    </pic:cNvPicPr>
                  </pic:nvPicPr>
                  <pic:blipFill>
                    <a:blip r:embed="rId14"/>
                    <a:stretch>
                      <a:fillRect/>
                    </a:stretch>
                  </pic:blipFill>
                  <pic:spPr>
                    <a:xfrm>
                      <a:off x="0" y="0"/>
                      <a:ext cx="6188710" cy="215836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jc w:val="both"/>
        <w:rPr>
          <w:rFonts w:hint="default"/>
        </w:rPr>
      </w:pPr>
      <w:r>
        <w:rPr>
          <w:rFonts w:hint="eastAsia"/>
        </w:rPr>
        <w:t>本市では、平成</w:t>
      </w:r>
      <w:r>
        <w:rPr>
          <w:rFonts w:hint="eastAsia"/>
        </w:rPr>
        <w:t>27</w:t>
      </w:r>
      <w:r>
        <w:rPr>
          <w:rFonts w:hint="eastAsia"/>
        </w:rPr>
        <w:t>年度</w:t>
      </w:r>
      <w:r>
        <w:rPr>
          <w:rFonts w:hint="eastAsia"/>
          <w:color w:val="000000" w:themeColor="text1"/>
        </w:rPr>
        <w:t>(</w:t>
      </w:r>
      <w:r>
        <w:rPr>
          <w:rFonts w:hint="eastAsia"/>
        </w:rPr>
        <w:t>2015</w:t>
      </w:r>
      <w:r>
        <w:rPr>
          <w:rFonts w:hint="eastAsia"/>
        </w:rPr>
        <w:t>年度</w:t>
      </w:r>
      <w:r>
        <w:rPr>
          <w:rFonts w:hint="eastAsia"/>
        </w:rPr>
        <w:t>)</w:t>
      </w:r>
      <w:r>
        <w:rPr>
          <w:rFonts w:hint="eastAsia"/>
        </w:rPr>
        <w:t>まで要支援者の認定率は国よりもやや高く、要介護者の認定率は大阪府や国よりも低い状況でしたが、全体としては大阪府や国よりも低い認定率となっていました。</w:t>
      </w:r>
      <w:r>
        <w:rPr>
          <w:rFonts w:hint="eastAsia"/>
          <w:color w:val="000000" w:themeColor="text1"/>
        </w:rPr>
        <w:t>平成</w:t>
      </w:r>
      <w:r>
        <w:rPr>
          <w:rFonts w:hint="eastAsia"/>
          <w:color w:val="000000" w:themeColor="text1"/>
        </w:rPr>
        <w:t>27</w:t>
      </w:r>
      <w:r>
        <w:rPr>
          <w:rFonts w:hint="eastAsia"/>
          <w:color w:val="000000" w:themeColor="text1"/>
        </w:rPr>
        <w:t>年度</w:t>
      </w:r>
      <w:r>
        <w:rPr>
          <w:rFonts w:hint="eastAsia"/>
          <w:color w:val="000000" w:themeColor="text1"/>
        </w:rPr>
        <w:t>(</w:t>
      </w:r>
      <w:r>
        <w:rPr>
          <w:rFonts w:hint="eastAsia"/>
        </w:rPr>
        <w:t>2015</w:t>
      </w:r>
      <w:r>
        <w:rPr>
          <w:rFonts w:hint="eastAsia"/>
        </w:rPr>
        <w:t>年度</w:t>
      </w:r>
      <w:r>
        <w:rPr>
          <w:rFonts w:hint="eastAsia"/>
        </w:rPr>
        <w:t>)</w:t>
      </w:r>
      <w:r>
        <w:rPr>
          <w:rFonts w:hint="eastAsia"/>
        </w:rPr>
        <w:t>の</w:t>
      </w:r>
      <w:r>
        <w:rPr>
          <w:rFonts w:hint="eastAsia"/>
          <w:color w:val="000000" w:themeColor="text1"/>
        </w:rPr>
        <w:t>総合事業開始以降は、要支援者及び要介護者の認定率がともに大阪府や国よりも低くなりました。</w:t>
      </w:r>
    </w:p>
    <w:p>
      <w:pPr>
        <w:pStyle w:val="0"/>
        <w:rPr>
          <w:rFonts w:hint="default"/>
        </w:rPr>
      </w:pPr>
    </w:p>
    <w:p>
      <w:pPr>
        <w:pStyle w:val="0"/>
        <w:jc w:val="center"/>
        <w:rPr>
          <w:rFonts w:hint="default"/>
        </w:rPr>
      </w:pPr>
      <w:r>
        <w:rPr>
          <w:rFonts w:hint="default"/>
        </w:rPr>
        <w:drawing>
          <wp:anchor distT="0" distB="0" distL="114300" distR="114300" simplePos="0" relativeHeight="16" behindDoc="1" locked="0" layoutInCell="1" hidden="0" allowOverlap="1">
            <wp:simplePos x="0" y="0"/>
            <wp:positionH relativeFrom="column">
              <wp:posOffset>94615</wp:posOffset>
            </wp:positionH>
            <wp:positionV relativeFrom="paragraph">
              <wp:posOffset>197485</wp:posOffset>
            </wp:positionV>
            <wp:extent cx="5980430" cy="2752725"/>
            <wp:effectExtent l="0" t="0" r="0" b="0"/>
            <wp:wrapNone/>
            <wp:docPr id="1034" name="Picture 3"/>
            <a:graphic xmlns:a="http://schemas.openxmlformats.org/drawingml/2006/main">
              <a:graphicData uri="http://schemas.openxmlformats.org/drawingml/2006/picture">
                <pic:pic xmlns:pic="http://schemas.openxmlformats.org/drawingml/2006/picture">
                  <pic:nvPicPr>
                    <pic:cNvPr id="1034" name="Picture 3"/>
                    <pic:cNvPicPr>
                      <a:picLocks noChangeAspect="1" noChangeArrowheads="1"/>
                    </pic:cNvPicPr>
                  </pic:nvPicPr>
                  <pic:blipFill>
                    <a:blip r:embed="rId15"/>
                    <a:stretch>
                      <a:fillRect/>
                    </a:stretch>
                  </pic:blipFill>
                  <pic:spPr>
                    <a:xfrm>
                      <a:off x="0" y="0"/>
                      <a:ext cx="5980430" cy="2752725"/>
                    </a:xfrm>
                    <a:prstGeom prst="rect">
                      <a:avLst/>
                    </a:prstGeom>
                    <a:noFill/>
                    <a:ln>
                      <a:noFill/>
                    </a:ln>
                  </pic:spPr>
                </pic:pic>
              </a:graphicData>
            </a:graphic>
          </wp:anchor>
        </w:drawing>
      </w:r>
      <w:r>
        <w:rPr>
          <w:rFonts w:hint="eastAsia" w:ascii="ＭＳ ゴシック" w:hAnsi="ＭＳ ゴシック" w:eastAsia="ＭＳ ゴシック"/>
          <w:sz w:val="21"/>
        </w:rPr>
        <w:t>図表８：要支援・要介護認定者数認定率（第１</w:t>
      </w:r>
      <w:r>
        <w:rPr>
          <w:rFonts w:hint="default" w:ascii="ＭＳ ゴシック" w:hAnsi="ＭＳ ゴシック" w:eastAsia="ＭＳ ゴシック"/>
          <w:sz w:val="21"/>
        </w:rPr>
        <w:t>号被保険者）の推移</w:t>
      </w:r>
    </w:p>
    <w:p>
      <w:pPr>
        <w:pStyle w:val="0"/>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00" w:firstLineChars="100"/>
        <w:jc w:val="both"/>
        <w:rPr>
          <w:rFonts w:hint="default"/>
          <w:sz w:val="20"/>
        </w:rPr>
      </w:pPr>
      <w:r>
        <w:rPr>
          <w:rFonts w:hint="eastAsia"/>
          <w:sz w:val="20"/>
        </w:rPr>
        <w:t>※各年度３月末</w:t>
      </w:r>
    </w:p>
    <w:p>
      <w:pPr>
        <w:pStyle w:val="0"/>
        <w:ind w:firstLine="200" w:firstLineChars="100"/>
        <w:jc w:val="both"/>
        <w:rPr>
          <w:rFonts w:hint="default"/>
          <w:sz w:val="20"/>
        </w:rPr>
      </w:pPr>
      <w:r>
        <w:rPr>
          <w:rFonts w:hint="eastAsia"/>
          <w:sz w:val="20"/>
        </w:rPr>
        <w:t>※要支援認定者認定率＝要支援認定者数（第１号）／第１号被保険者数</w:t>
      </w:r>
    </w:p>
    <w:p>
      <w:pPr>
        <w:pStyle w:val="0"/>
        <w:ind w:firstLine="400" w:firstLineChars="200"/>
        <w:jc w:val="both"/>
        <w:rPr>
          <w:rFonts w:hint="default"/>
          <w:sz w:val="20"/>
        </w:rPr>
      </w:pPr>
      <w:r>
        <w:rPr>
          <w:rFonts w:hint="eastAsia"/>
          <w:sz w:val="20"/>
        </w:rPr>
        <w:t>要介護認定者認定率＝要介護認定者数（第１号）／第１号被保険者数</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sz w:val="21"/>
        </w:rPr>
      </w:pPr>
      <w:r>
        <w:rPr>
          <w:rFonts w:hint="eastAsia"/>
        </w:rPr>
        <w:drawing>
          <wp:anchor distT="0" distB="0" distL="114300" distR="114300" simplePos="0" relativeHeight="18" behindDoc="1" locked="0" layoutInCell="1" hidden="0" allowOverlap="1">
            <wp:simplePos x="0" y="0"/>
            <wp:positionH relativeFrom="column">
              <wp:posOffset>194945</wp:posOffset>
            </wp:positionH>
            <wp:positionV relativeFrom="paragraph">
              <wp:posOffset>76200</wp:posOffset>
            </wp:positionV>
            <wp:extent cx="6172200" cy="2686050"/>
            <wp:effectExtent l="0" t="0" r="0" b="0"/>
            <wp:wrapNone/>
            <wp:docPr id="1035" name="Picture 1"/>
            <a:graphic xmlns:a="http://schemas.openxmlformats.org/drawingml/2006/main">
              <a:graphicData uri="http://schemas.openxmlformats.org/drawingml/2006/picture">
                <pic:pic xmlns:pic="http://schemas.openxmlformats.org/drawingml/2006/picture">
                  <pic:nvPicPr>
                    <pic:cNvPr id="1035" name="Picture 1"/>
                    <pic:cNvPicPr>
                      <a:picLocks noChangeAspect="1" noChangeArrowheads="1"/>
                    </pic:cNvPicPr>
                  </pic:nvPicPr>
                  <pic:blipFill>
                    <a:blip r:embed="rId16"/>
                    <a:stretch>
                      <a:fillRect/>
                    </a:stretch>
                  </pic:blipFill>
                  <pic:spPr>
                    <a:xfrm>
                      <a:off x="0" y="0"/>
                      <a:ext cx="6172200" cy="2686050"/>
                    </a:xfrm>
                    <a:prstGeom prst="rect">
                      <a:avLst/>
                    </a:prstGeom>
                    <a:noFill/>
                    <a:ln>
                      <a:noFill/>
                    </a:ln>
                  </pic:spPr>
                </pic:pic>
              </a:graphicData>
            </a:graphic>
          </wp:anchor>
        </w:drawing>
      </w:r>
      <w:r>
        <w:rPr>
          <w:rFonts w:hint="eastAsia" w:ascii="ＭＳ ゴシック" w:hAnsi="ＭＳ ゴシック" w:eastAsia="ＭＳ ゴシック"/>
          <w:sz w:val="21"/>
        </w:rPr>
        <w:t>図表９：箕面市要支援・要介護認定者認定率（第１号被保険者）の推移</w:t>
      </w:r>
    </w:p>
    <w:p>
      <w:pPr>
        <w:pStyle w:val="0"/>
        <w:rPr>
          <w:rFonts w:hint="default"/>
        </w:rPr>
      </w:pPr>
    </w:p>
    <w:p>
      <w:pPr>
        <w:pStyle w:val="0"/>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0"/>
        </w:rPr>
      </w:pPr>
      <w:r>
        <w:rPr>
          <w:rFonts w:hint="eastAsia"/>
          <w:sz w:val="20"/>
        </w:rPr>
        <w:t>※各年度３月末</w:t>
      </w:r>
    </w:p>
    <w:p>
      <w:pPr>
        <w:pStyle w:val="0"/>
        <w:rPr>
          <w:rFonts w:hint="default"/>
        </w:rPr>
      </w:pPr>
    </w:p>
    <w:p>
      <w:pPr>
        <w:pStyle w:val="0"/>
        <w:ind w:firstLine="240" w:firstLineChars="100"/>
        <w:jc w:val="both"/>
        <w:rPr>
          <w:rFonts w:hint="default"/>
          <w:color w:val="000000" w:themeColor="text1"/>
        </w:rPr>
      </w:pPr>
      <w:r>
        <w:rPr>
          <w:rFonts w:hint="eastAsia"/>
          <w:color w:val="000000" w:themeColor="text1"/>
        </w:rPr>
        <w:t>本市の要支援・要介護認定率を年齢別にみる</w:t>
      </w:r>
      <w:r>
        <w:rPr>
          <w:rFonts w:hint="eastAsia"/>
          <w:color w:val="000000" w:themeColor="text1"/>
          <w:highlight w:val="none"/>
        </w:rPr>
        <w:t>と、年齢とともに急上昇し、</w:t>
      </w:r>
      <w:r>
        <w:rPr>
          <w:rFonts w:hint="eastAsia"/>
          <w:color w:val="000000" w:themeColor="text1"/>
          <w:highlight w:val="none"/>
        </w:rPr>
        <w:t>65</w:t>
      </w:r>
      <w:r>
        <w:rPr>
          <w:rFonts w:hint="eastAsia"/>
          <w:color w:val="000000" w:themeColor="text1"/>
          <w:highlight w:val="none"/>
        </w:rPr>
        <w:t>～</w:t>
      </w:r>
      <w:r>
        <w:rPr>
          <w:rFonts w:hint="eastAsia"/>
          <w:color w:val="000000" w:themeColor="text1"/>
          <w:highlight w:val="none"/>
        </w:rPr>
        <w:t>69</w:t>
      </w:r>
      <w:r>
        <w:rPr>
          <w:rFonts w:hint="eastAsia"/>
          <w:color w:val="000000" w:themeColor="text1"/>
          <w:highlight w:val="none"/>
        </w:rPr>
        <w:t>歳：</w:t>
      </w:r>
      <w:r>
        <w:rPr>
          <w:rFonts w:hint="eastAsia"/>
          <w:color w:val="000000" w:themeColor="text1"/>
          <w:highlight w:val="none"/>
        </w:rPr>
        <w:t>2.1</w:t>
      </w:r>
      <w:r>
        <w:rPr>
          <w:rFonts w:hint="eastAsia"/>
          <w:color w:val="000000" w:themeColor="text1"/>
          <w:highlight w:val="none"/>
        </w:rPr>
        <w:t>％、</w:t>
      </w:r>
      <w:r>
        <w:rPr>
          <w:rFonts w:hint="eastAsia"/>
          <w:color w:val="000000" w:themeColor="text1"/>
          <w:highlight w:val="none"/>
        </w:rPr>
        <w:t>70</w:t>
      </w:r>
      <w:r>
        <w:rPr>
          <w:rFonts w:hint="eastAsia"/>
          <w:color w:val="000000" w:themeColor="text1"/>
          <w:highlight w:val="none"/>
        </w:rPr>
        <w:t>～</w:t>
      </w:r>
      <w:r>
        <w:rPr>
          <w:rFonts w:hint="eastAsia"/>
          <w:color w:val="000000" w:themeColor="text1"/>
          <w:highlight w:val="none"/>
        </w:rPr>
        <w:t>74</w:t>
      </w:r>
      <w:r>
        <w:rPr>
          <w:rFonts w:hint="eastAsia"/>
          <w:color w:val="000000" w:themeColor="text1"/>
          <w:highlight w:val="none"/>
        </w:rPr>
        <w:t>歳：</w:t>
      </w:r>
      <w:r>
        <w:rPr>
          <w:rFonts w:hint="eastAsia"/>
          <w:color w:val="000000" w:themeColor="text1"/>
          <w:highlight w:val="none"/>
        </w:rPr>
        <w:t>4.2</w:t>
      </w:r>
      <w:r>
        <w:rPr>
          <w:rFonts w:hint="eastAsia"/>
          <w:color w:val="000000" w:themeColor="text1"/>
          <w:highlight w:val="none"/>
        </w:rPr>
        <w:t>％、</w:t>
      </w:r>
      <w:r>
        <w:rPr>
          <w:rFonts w:hint="eastAsia"/>
          <w:color w:val="000000" w:themeColor="text1"/>
          <w:highlight w:val="none"/>
        </w:rPr>
        <w:t>75</w:t>
      </w:r>
      <w:r>
        <w:rPr>
          <w:rFonts w:hint="eastAsia"/>
          <w:color w:val="000000" w:themeColor="text1"/>
          <w:highlight w:val="none"/>
        </w:rPr>
        <w:t>～</w:t>
      </w:r>
      <w:r>
        <w:rPr>
          <w:rFonts w:hint="eastAsia"/>
          <w:color w:val="000000" w:themeColor="text1"/>
          <w:highlight w:val="none"/>
        </w:rPr>
        <w:t>79</w:t>
      </w:r>
      <w:r>
        <w:rPr>
          <w:rFonts w:hint="eastAsia"/>
          <w:color w:val="000000" w:themeColor="text1"/>
          <w:highlight w:val="none"/>
        </w:rPr>
        <w:t>歳：</w:t>
      </w:r>
      <w:r>
        <w:rPr>
          <w:rFonts w:hint="eastAsia"/>
          <w:color w:val="000000" w:themeColor="text1"/>
          <w:highlight w:val="none"/>
        </w:rPr>
        <w:t>10.0</w:t>
      </w:r>
      <w:r>
        <w:rPr>
          <w:rFonts w:hint="eastAsia"/>
          <w:color w:val="000000" w:themeColor="text1"/>
          <w:highlight w:val="none"/>
        </w:rPr>
        <w:t>％、</w:t>
      </w:r>
      <w:r>
        <w:rPr>
          <w:rFonts w:hint="eastAsia"/>
          <w:color w:val="000000" w:themeColor="text1"/>
          <w:highlight w:val="none"/>
        </w:rPr>
        <w:t>80</w:t>
      </w:r>
      <w:r>
        <w:rPr>
          <w:rFonts w:hint="eastAsia"/>
          <w:color w:val="000000" w:themeColor="text1"/>
          <w:highlight w:val="none"/>
        </w:rPr>
        <w:t>～</w:t>
      </w:r>
      <w:r>
        <w:rPr>
          <w:rFonts w:hint="eastAsia"/>
          <w:color w:val="000000" w:themeColor="text1"/>
          <w:highlight w:val="none"/>
        </w:rPr>
        <w:t>84</w:t>
      </w:r>
      <w:r>
        <w:rPr>
          <w:rFonts w:hint="eastAsia"/>
          <w:color w:val="000000" w:themeColor="text1"/>
          <w:highlight w:val="none"/>
        </w:rPr>
        <w:t>歳：</w:t>
      </w:r>
      <w:r>
        <w:rPr>
          <w:rFonts w:hint="eastAsia"/>
          <w:color w:val="000000" w:themeColor="text1"/>
          <w:highlight w:val="none"/>
        </w:rPr>
        <w:t>22.9</w:t>
      </w:r>
      <w:r>
        <w:rPr>
          <w:rFonts w:hint="eastAsia"/>
          <w:color w:val="000000" w:themeColor="text1"/>
          <w:highlight w:val="none"/>
        </w:rPr>
        <w:t>％、</w:t>
      </w:r>
      <w:r>
        <w:rPr>
          <w:rFonts w:hint="eastAsia"/>
          <w:color w:val="000000" w:themeColor="text1"/>
          <w:highlight w:val="none"/>
        </w:rPr>
        <w:t>85</w:t>
      </w:r>
      <w:r>
        <w:rPr>
          <w:rFonts w:hint="eastAsia"/>
          <w:color w:val="000000" w:themeColor="text1"/>
          <w:highlight w:val="none"/>
        </w:rPr>
        <w:t>～</w:t>
      </w:r>
      <w:r>
        <w:rPr>
          <w:rFonts w:hint="eastAsia"/>
          <w:color w:val="000000" w:themeColor="text1"/>
          <w:highlight w:val="none"/>
        </w:rPr>
        <w:t>89</w:t>
      </w:r>
      <w:r>
        <w:rPr>
          <w:rFonts w:hint="eastAsia"/>
          <w:color w:val="000000" w:themeColor="text1"/>
          <w:highlight w:val="none"/>
        </w:rPr>
        <w:t>歳：</w:t>
      </w:r>
      <w:r>
        <w:rPr>
          <w:rFonts w:hint="eastAsia"/>
          <w:color w:val="000000" w:themeColor="text1"/>
          <w:highlight w:val="none"/>
        </w:rPr>
        <w:t>44.9</w:t>
      </w:r>
      <w:r>
        <w:rPr>
          <w:rFonts w:hint="eastAsia"/>
          <w:color w:val="000000" w:themeColor="text1"/>
          <w:highlight w:val="none"/>
        </w:rPr>
        <w:t>％、</w:t>
      </w:r>
      <w:r>
        <w:rPr>
          <w:rFonts w:hint="eastAsia"/>
          <w:color w:val="000000" w:themeColor="text1"/>
          <w:highlight w:val="none"/>
        </w:rPr>
        <w:t>90</w:t>
      </w:r>
      <w:r>
        <w:rPr>
          <w:rFonts w:hint="eastAsia"/>
          <w:color w:val="000000" w:themeColor="text1"/>
          <w:highlight w:val="none"/>
        </w:rPr>
        <w:t>歳以上：</w:t>
      </w:r>
      <w:r>
        <w:rPr>
          <w:rFonts w:hint="eastAsia"/>
          <w:color w:val="000000" w:themeColor="text1"/>
          <w:highlight w:val="none"/>
        </w:rPr>
        <w:t>73.1</w:t>
      </w:r>
      <w:r>
        <w:rPr>
          <w:rFonts w:hint="eastAsia"/>
          <w:color w:val="000000" w:themeColor="text1"/>
          <w:highlight w:val="none"/>
        </w:rPr>
        <w:t>％となっていますが、国と比較すると、</w:t>
      </w:r>
      <w:r>
        <w:rPr>
          <w:rFonts w:hint="eastAsia"/>
          <w:color w:val="000000" w:themeColor="text1"/>
          <w:highlight w:val="none"/>
        </w:rPr>
        <w:t>90</w:t>
      </w:r>
      <w:r>
        <w:rPr>
          <w:rFonts w:hint="eastAsia"/>
          <w:color w:val="000000" w:themeColor="text1"/>
          <w:highlight w:val="none"/>
        </w:rPr>
        <w:t>歳未満におい</w:t>
      </w:r>
      <w:r>
        <w:rPr>
          <w:rFonts w:hint="eastAsia"/>
          <w:color w:val="000000" w:themeColor="text1"/>
        </w:rPr>
        <w:t>て、本市は国よりも認定率が低くなっています。</w:t>
      </w:r>
    </w:p>
    <w:p>
      <w:pPr>
        <w:pStyle w:val="0"/>
        <w:rPr>
          <w:rFonts w:hint="default"/>
        </w:rPr>
      </w:pPr>
    </w:p>
    <w:p>
      <w:pPr>
        <w:pStyle w:val="0"/>
        <w:jc w:val="center"/>
        <w:rPr>
          <w:rFonts w:hint="default" w:ascii="ＭＳ ゴシック" w:hAnsi="ＭＳ ゴシック" w:eastAsia="ＭＳ ゴシック"/>
          <w:sz w:val="21"/>
        </w:rPr>
      </w:pPr>
      <w:r>
        <w:rPr>
          <w:rFonts w:hint="eastAsia"/>
        </w:rPr>
        <w:drawing>
          <wp:anchor distT="0" distB="0" distL="114300" distR="114300" simplePos="0" relativeHeight="17" behindDoc="1" locked="0" layoutInCell="1" hidden="0" allowOverlap="1">
            <wp:simplePos x="0" y="0"/>
            <wp:positionH relativeFrom="column">
              <wp:posOffset>29845</wp:posOffset>
            </wp:positionH>
            <wp:positionV relativeFrom="paragraph">
              <wp:posOffset>133350</wp:posOffset>
            </wp:positionV>
            <wp:extent cx="6127750" cy="3313430"/>
            <wp:effectExtent l="0" t="0" r="0" b="0"/>
            <wp:wrapNone/>
            <wp:docPr id="1036" name="Picture 2"/>
            <a:graphic xmlns:a="http://schemas.openxmlformats.org/drawingml/2006/main">
              <a:graphicData uri="http://schemas.openxmlformats.org/drawingml/2006/picture">
                <pic:pic xmlns:pic="http://schemas.openxmlformats.org/drawingml/2006/picture">
                  <pic:nvPicPr>
                    <pic:cNvPr id="1036" name="Picture 2"/>
                    <pic:cNvPicPr>
                      <a:picLocks noChangeAspect="1" noChangeArrowheads="1"/>
                    </pic:cNvPicPr>
                  </pic:nvPicPr>
                  <pic:blipFill>
                    <a:blip r:embed="rId17"/>
                    <a:stretch>
                      <a:fillRect/>
                    </a:stretch>
                  </pic:blipFill>
                  <pic:spPr>
                    <a:xfrm>
                      <a:off x="0" y="0"/>
                      <a:ext cx="6127750" cy="331343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10</w:t>
      </w:r>
      <w:r>
        <w:rPr>
          <w:rFonts w:hint="eastAsia" w:ascii="ＭＳ ゴシック" w:hAnsi="ＭＳ ゴシック" w:eastAsia="ＭＳ ゴシック"/>
          <w:sz w:val="21"/>
        </w:rPr>
        <w:t>：年齢階層別の要支援・要介護認定率（令和２年</w:t>
      </w:r>
      <w:r>
        <w:rPr>
          <w:rFonts w:hint="eastAsia" w:ascii="ＭＳ ゴシック" w:hAnsi="ＭＳ ゴシック" w:eastAsia="ＭＳ ゴシック"/>
          <w:sz w:val="21"/>
        </w:rPr>
        <w:t>(</w:t>
      </w:r>
      <w:r>
        <w:rPr>
          <w:rFonts w:hint="default" w:ascii="ＭＳ ゴシック" w:hAnsi="ＭＳ ゴシック" w:eastAsia="ＭＳ ゴシック"/>
          <w:sz w:val="21"/>
        </w:rPr>
        <w:t>20</w:t>
      </w:r>
      <w:r>
        <w:rPr>
          <w:rFonts w:hint="eastAsia" w:ascii="ＭＳ ゴシック" w:hAnsi="ＭＳ ゴシック" w:eastAsia="ＭＳ ゴシック"/>
          <w:sz w:val="21"/>
        </w:rPr>
        <w:t>20</w:t>
      </w:r>
      <w:r>
        <w:rPr>
          <w:rFonts w:hint="eastAsia" w:ascii="ＭＳ ゴシック" w:hAnsi="ＭＳ ゴシック" w:eastAsia="ＭＳ ゴシック"/>
          <w:sz w:val="21"/>
        </w:rPr>
        <w:t>年</w:t>
      </w:r>
      <w:r>
        <w:rPr>
          <w:rFonts w:hint="default" w:ascii="ＭＳ ゴシック" w:hAnsi="ＭＳ ゴシック" w:eastAsia="ＭＳ ゴシック"/>
          <w:sz w:val="21"/>
        </w:rPr>
        <w:t>)</w:t>
      </w:r>
      <w:r>
        <w:rPr>
          <w:rFonts w:hint="eastAsia" w:ascii="ＭＳ ゴシック" w:hAnsi="ＭＳ ゴシック" w:eastAsia="ＭＳ ゴシック"/>
          <w:sz w:val="21"/>
        </w:rPr>
        <w:t>３月末</w:t>
      </w:r>
      <w:r>
        <w:rPr>
          <w:rFonts w:hint="default" w:ascii="ＭＳ ゴシック" w:hAnsi="ＭＳ ゴシック" w:eastAsia="ＭＳ ゴシック"/>
          <w:sz w:val="21"/>
        </w:rPr>
        <w:t>）</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00" w:firstLineChars="100"/>
        <w:rPr>
          <w:rFonts w:hint="default"/>
        </w:rPr>
      </w:pPr>
      <w:r>
        <w:rPr>
          <w:rFonts w:hint="eastAsia"/>
          <w:sz w:val="20"/>
        </w:rPr>
        <w:t>※</w:t>
      </w:r>
      <w:r>
        <w:rPr>
          <w:rFonts w:hint="default"/>
          <w:sz w:val="20"/>
        </w:rPr>
        <w:t>全国は総務省統計局「人口推計」（</w:t>
      </w:r>
      <w:r>
        <w:rPr>
          <w:rFonts w:hint="eastAsia"/>
          <w:sz w:val="20"/>
        </w:rPr>
        <w:t>令和２年４</w:t>
      </w:r>
      <w:r>
        <w:rPr>
          <w:rFonts w:hint="default"/>
          <w:sz w:val="20"/>
        </w:rPr>
        <w:t>月</w:t>
      </w:r>
      <w:r>
        <w:rPr>
          <w:rFonts w:hint="eastAsia"/>
          <w:sz w:val="20"/>
        </w:rPr>
        <w:t>１</w:t>
      </w:r>
      <w:r>
        <w:rPr>
          <w:rFonts w:hint="default"/>
          <w:sz w:val="20"/>
        </w:rPr>
        <w:t>日）</w:t>
      </w:r>
    </w:p>
    <w:p>
      <w:pPr>
        <w:pStyle w:val="0"/>
        <w:rPr>
          <w:rFonts w:hint="default"/>
        </w:rPr>
      </w:pPr>
    </w:p>
    <w:p>
      <w:pPr>
        <w:pStyle w:val="0"/>
        <w:rPr>
          <w:rFonts w:hint="default"/>
        </w:rPr>
      </w:pPr>
    </w:p>
    <w:p>
      <w:pPr>
        <w:pStyle w:val="0"/>
        <w:rPr>
          <w:rFonts w:hint="default"/>
        </w:rPr>
      </w:pPr>
    </w:p>
    <w:p>
      <w:pPr>
        <w:pStyle w:val="4"/>
        <w:ind w:left="0" w:leftChars="0"/>
        <w:rPr>
          <w:rFonts w:hint="default" w:ascii="メイリオ" w:hAnsi="メイリオ" w:eastAsia="メイリオ"/>
          <w:b w:val="0"/>
          <w:sz w:val="28"/>
        </w:rPr>
      </w:pPr>
      <w:bookmarkStart w:id="4" w:name="_Toc59007757"/>
      <w:r>
        <w:rPr>
          <w:rFonts w:hint="eastAsia" w:ascii="メイリオ" w:hAnsi="メイリオ" w:eastAsia="メイリオ"/>
          <w:b w:val="0"/>
          <w:sz w:val="28"/>
        </w:rPr>
        <w:t>（３）要支援・要介護認定の原因疾患</w:t>
      </w:r>
      <w:bookmarkEnd w:id="4"/>
    </w:p>
    <w:p>
      <w:pPr>
        <w:pStyle w:val="5"/>
        <w:ind w:left="0" w:leftChars="0" w:firstLine="240" w:firstLineChars="100"/>
        <w:rPr>
          <w:rFonts w:hint="default" w:ascii="ＭＳ ゴシック" w:hAnsi="ＭＳ ゴシック" w:eastAsia="ＭＳ ゴシック"/>
        </w:rPr>
      </w:pPr>
      <w:bookmarkStart w:id="5" w:name="_Toc59007758"/>
      <w:r>
        <w:rPr>
          <w:rFonts w:hint="eastAsia" w:ascii="ＭＳ ゴシック" w:hAnsi="ＭＳ ゴシック" w:eastAsia="ＭＳ ゴシック"/>
        </w:rPr>
        <w:t>ア）新規に要支援・要介護認定を受けたかたの原因疾患</w:t>
      </w:r>
      <w:bookmarkEnd w:id="5"/>
    </w:p>
    <w:p>
      <w:pPr>
        <w:pStyle w:val="0"/>
        <w:ind w:left="240" w:leftChars="100" w:firstLine="240" w:firstLineChars="100"/>
        <w:jc w:val="both"/>
        <w:rPr>
          <w:rFonts w:hint="default"/>
        </w:rPr>
      </w:pPr>
      <w:r>
        <w:rPr>
          <w:rFonts w:hint="eastAsia"/>
        </w:rPr>
        <w:t>令和元</w:t>
      </w:r>
      <w:r>
        <w:rPr>
          <w:rFonts w:hint="default"/>
        </w:rPr>
        <w:t>年</w:t>
      </w:r>
      <w:r>
        <w:rPr>
          <w:rFonts w:hint="eastAsia"/>
        </w:rPr>
        <w:t>(</w:t>
      </w:r>
      <w:r>
        <w:rPr>
          <w:rFonts w:hint="default"/>
        </w:rPr>
        <w:t>201</w:t>
      </w:r>
      <w:r>
        <w:rPr>
          <w:rFonts w:hint="eastAsia"/>
        </w:rPr>
        <w:t>9</w:t>
      </w:r>
      <w:r>
        <w:rPr>
          <w:rFonts w:hint="default"/>
        </w:rPr>
        <w:t>年</w:t>
      </w:r>
      <w:r>
        <w:rPr>
          <w:rFonts w:hint="eastAsia"/>
        </w:rPr>
        <w:t>)12</w:t>
      </w:r>
      <w:r>
        <w:rPr>
          <w:rFonts w:hint="default"/>
        </w:rPr>
        <w:t>月から</w:t>
      </w:r>
      <w:r>
        <w:rPr>
          <w:rFonts w:hint="eastAsia"/>
        </w:rPr>
        <w:t>令和２年</w:t>
      </w:r>
      <w:r>
        <w:rPr>
          <w:rFonts w:hint="eastAsia"/>
        </w:rPr>
        <w:t>(</w:t>
      </w:r>
      <w:r>
        <w:rPr>
          <w:rFonts w:hint="default"/>
        </w:rPr>
        <w:t>2020</w:t>
      </w:r>
      <w:r>
        <w:rPr>
          <w:rFonts w:hint="eastAsia"/>
        </w:rPr>
        <w:t>年</w:t>
      </w:r>
      <w:r>
        <w:rPr>
          <w:rFonts w:hint="default"/>
        </w:rPr>
        <w:t>)</w:t>
      </w:r>
      <w:r>
        <w:rPr>
          <w:rFonts w:hint="eastAsia"/>
        </w:rPr>
        <w:t>３</w:t>
      </w:r>
      <w:r>
        <w:rPr>
          <w:rFonts w:hint="default"/>
        </w:rPr>
        <w:t>月末までの４か月間に、新規に要支</w:t>
      </w:r>
    </w:p>
    <w:p>
      <w:pPr>
        <w:pStyle w:val="0"/>
        <w:ind w:left="240" w:leftChars="100"/>
        <w:jc w:val="both"/>
        <w:rPr>
          <w:rFonts w:hint="default"/>
        </w:rPr>
      </w:pPr>
      <w:r>
        <w:rPr>
          <w:rFonts w:hint="default"/>
        </w:rPr>
        <w:t>援・要介護認定を受けたかたの原因疾患を見ると、要支援１</w:t>
      </w:r>
      <w:r>
        <w:rPr>
          <w:rFonts w:hint="eastAsia"/>
          <w:color w:val="000000" w:themeColor="text1"/>
        </w:rPr>
        <w:t>・</w:t>
      </w:r>
      <w:r>
        <w:rPr>
          <w:rFonts w:hint="default"/>
        </w:rPr>
        <w:t>２では「骨関節疾患」（</w:t>
      </w:r>
      <w:r>
        <w:rPr>
          <w:rFonts w:hint="default"/>
        </w:rPr>
        <w:t>2</w:t>
      </w:r>
      <w:r>
        <w:rPr>
          <w:rFonts w:hint="eastAsia"/>
        </w:rPr>
        <w:t>6.3</w:t>
      </w:r>
      <w:r>
        <w:rPr>
          <w:rFonts w:hint="default"/>
        </w:rPr>
        <w:t>％）が最も多く、</w:t>
      </w:r>
      <w:r>
        <w:rPr>
          <w:rFonts w:hint="eastAsia"/>
        </w:rPr>
        <w:t>次</w:t>
      </w:r>
      <w:r>
        <w:rPr>
          <w:rFonts w:hint="default"/>
        </w:rPr>
        <w:t>いで「骨折」（</w:t>
      </w:r>
      <w:r>
        <w:rPr>
          <w:rFonts w:hint="default"/>
        </w:rPr>
        <w:t>15.</w:t>
      </w:r>
      <w:r>
        <w:rPr>
          <w:rFonts w:hint="eastAsia"/>
        </w:rPr>
        <w:t>5</w:t>
      </w:r>
      <w:r>
        <w:rPr>
          <w:rFonts w:hint="default"/>
        </w:rPr>
        <w:t>％）であるのに対して、要介護１では「認知症」（</w:t>
      </w:r>
      <w:r>
        <w:rPr>
          <w:rFonts w:hint="default"/>
        </w:rPr>
        <w:t>4</w:t>
      </w:r>
      <w:r>
        <w:rPr>
          <w:rFonts w:hint="eastAsia"/>
        </w:rPr>
        <w:t>2.1</w:t>
      </w:r>
      <w:r>
        <w:rPr>
          <w:rFonts w:hint="default"/>
        </w:rPr>
        <w:t>％）が最も多く、</w:t>
      </w:r>
      <w:r>
        <w:rPr>
          <w:rFonts w:hint="eastAsia"/>
        </w:rPr>
        <w:t>次</w:t>
      </w:r>
      <w:r>
        <w:rPr>
          <w:rFonts w:hint="default"/>
        </w:rPr>
        <w:t>いで「</w:t>
      </w:r>
      <w:r>
        <w:rPr>
          <w:rFonts w:hint="eastAsia"/>
        </w:rPr>
        <w:t>悪性新生物</w:t>
      </w:r>
      <w:r>
        <w:rPr>
          <w:rFonts w:hint="default"/>
        </w:rPr>
        <w:t>」（</w:t>
      </w:r>
      <w:r>
        <w:rPr>
          <w:rFonts w:hint="eastAsia"/>
        </w:rPr>
        <w:t>22.8</w:t>
      </w:r>
      <w:r>
        <w:rPr>
          <w:rFonts w:hint="default"/>
        </w:rPr>
        <w:t>％）であり、</w:t>
      </w:r>
      <w:r>
        <w:rPr>
          <w:rFonts w:hint="eastAsia"/>
        </w:rPr>
        <w:t>要介護２以上では「脳血管疾患」（</w:t>
      </w:r>
      <w:r>
        <w:rPr>
          <w:rFonts w:hint="eastAsia"/>
        </w:rPr>
        <w:t>23.7</w:t>
      </w:r>
      <w:r>
        <w:rPr>
          <w:rFonts w:hint="default"/>
        </w:rPr>
        <w:t>％）が最も多く、次いで「認知症」（</w:t>
      </w:r>
      <w:r>
        <w:rPr>
          <w:rFonts w:hint="default"/>
        </w:rPr>
        <w:t>1</w:t>
      </w:r>
      <w:r>
        <w:rPr>
          <w:rFonts w:hint="eastAsia"/>
        </w:rPr>
        <w:t>7.8</w:t>
      </w:r>
      <w:r>
        <w:rPr>
          <w:rFonts w:hint="default"/>
        </w:rPr>
        <w:t>％）となっています。</w:t>
      </w:r>
    </w:p>
    <w:p>
      <w:pPr>
        <w:pStyle w:val="0"/>
        <w:ind w:left="240" w:hanging="240" w:hangingChars="10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11</w:t>
      </w:r>
      <w:r>
        <w:rPr>
          <w:rFonts w:hint="eastAsia" w:ascii="ＭＳ ゴシック" w:hAnsi="ＭＳ ゴシック" w:eastAsia="ＭＳ ゴシック"/>
          <w:sz w:val="21"/>
        </w:rPr>
        <w:t>：新規に要支援・要介護認定を受けたかたの主な原因疾患</w:t>
      </w:r>
    </w:p>
    <w:tbl>
      <w:tblPr>
        <w:tblStyle w:val="11"/>
        <w:tblW w:w="9416" w:type="dxa"/>
        <w:tblInd w:w="274" w:type="dxa"/>
        <w:tblLayout w:type="fixed"/>
        <w:tblCellMar>
          <w:left w:w="0" w:type="dxa"/>
          <w:right w:w="0" w:type="dxa"/>
        </w:tblCellMar>
        <w:tblLook w:firstRow="1" w:lastRow="0" w:firstColumn="1" w:lastColumn="0" w:noHBand="0" w:noVBand="1" w:val="04A0"/>
      </w:tblPr>
      <w:tblGrid>
        <w:gridCol w:w="423"/>
        <w:gridCol w:w="1684"/>
        <w:gridCol w:w="912"/>
        <w:gridCol w:w="913"/>
        <w:gridCol w:w="913"/>
        <w:gridCol w:w="913"/>
        <w:gridCol w:w="912"/>
        <w:gridCol w:w="913"/>
        <w:gridCol w:w="913"/>
        <w:gridCol w:w="920"/>
      </w:tblGrid>
      <w:tr>
        <w:trPr>
          <w:trHeight w:val="330" w:hRule="atLeast"/>
        </w:trPr>
        <w:tc>
          <w:tcPr>
            <w:tcW w:w="2107"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themeFill="accent5" w:themeFillTint="66" w:themeFillShade="FF"/>
            <w:tcMar>
              <w:top w:w="0" w:type="dxa"/>
              <w:left w:w="10" w:type="dxa"/>
              <w:bottom w:w="0" w:type="dxa"/>
              <w:right w:w="5" w:type="dxa"/>
            </w:tcMar>
            <w:vAlign w:val="center"/>
          </w:tcPr>
          <w:p>
            <w:pPr>
              <w:pStyle w:val="0"/>
              <w:jc w:val="center"/>
              <w:rPr>
                <w:rFonts w:hint="default"/>
                <w:sz w:val="22"/>
              </w:rPr>
            </w:pPr>
            <w:r>
              <w:rPr>
                <w:rFonts w:hint="eastAsia" w:ascii="ＭＳ ゴシック" w:hAnsi="ＭＳ ゴシック" w:eastAsia="ＭＳ ゴシック"/>
              </w:rPr>
              <w:t>原因疾患</w:t>
            </w:r>
          </w:p>
        </w:tc>
        <w:tc>
          <w:tcPr>
            <w:tcW w:w="182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要支援</w:t>
            </w:r>
            <w:r>
              <w:rPr>
                <w:rFonts w:hint="eastAsia" w:ascii="ＭＳ Ｐゴシック" w:hAnsi="ＭＳ Ｐゴシック" w:eastAsia="ＭＳ Ｐゴシック"/>
                <w:sz w:val="22"/>
              </w:rPr>
              <w:t>１・２</w:t>
            </w:r>
          </w:p>
        </w:tc>
        <w:tc>
          <w:tcPr>
            <w:tcW w:w="182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要介護１</w:t>
            </w:r>
          </w:p>
        </w:tc>
        <w:tc>
          <w:tcPr>
            <w:tcW w:w="1825" w:type="dxa"/>
            <w:gridSpan w:val="2"/>
            <w:tcBorders>
              <w:top w:val="single" w:color="auto" w:sz="6" w:space="0"/>
              <w:left w:val="single" w:color="auto" w:sz="6" w:space="0"/>
              <w:bottom w:val="single" w:color="auto" w:sz="6" w:space="0"/>
              <w:right w:val="double" w:color="auto" w:sz="4"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要介護</w:t>
            </w:r>
            <w:r>
              <w:rPr>
                <w:rFonts w:hint="eastAsia" w:ascii="ＭＳ Ｐゴシック" w:hAnsi="ＭＳ Ｐゴシック" w:eastAsia="ＭＳ Ｐゴシック"/>
                <w:sz w:val="22"/>
              </w:rPr>
              <w:t>２～５</w:t>
            </w:r>
          </w:p>
        </w:tc>
        <w:tc>
          <w:tcPr>
            <w:tcW w:w="1833" w:type="dxa"/>
            <w:gridSpan w:val="2"/>
            <w:tcBorders>
              <w:top w:val="single" w:color="auto" w:sz="6" w:space="0"/>
              <w:left w:val="double" w:color="auto" w:sz="4"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合計</w:t>
            </w:r>
          </w:p>
        </w:tc>
      </w:tr>
      <w:tr>
        <w:trPr>
          <w:trHeight w:val="330" w:hRule="atLeast"/>
        </w:trPr>
        <w:tc>
          <w:tcPr>
            <w:tcW w:w="2107"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10" w:type="dxa"/>
              <w:bottom w:w="0" w:type="dxa"/>
              <w:right w:w="5" w:type="dxa"/>
            </w:tcMar>
            <w:vAlign w:val="center"/>
          </w:tcPr>
          <w:p>
            <w:pPr>
              <w:pStyle w:val="0"/>
              <w:jc w:val="center"/>
              <w:rPr>
                <w:rFonts w:hint="default"/>
                <w:sz w:val="22"/>
              </w:rPr>
            </w:pP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人数</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割合</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人数</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割合</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人数</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割合</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5" w:type="dxa"/>
            </w:tcMar>
            <w:vAlign w:val="center"/>
          </w:tcPr>
          <w:p>
            <w:pPr>
              <w:pStyle w:val="0"/>
              <w:jc w:val="center"/>
              <w:rPr>
                <w:rFonts w:hint="default"/>
                <w:sz w:val="22"/>
              </w:rPr>
            </w:pPr>
            <w:r>
              <w:rPr>
                <w:rFonts w:hint="default" w:ascii="ＭＳ Ｐゴシック" w:hAnsi="ＭＳ Ｐゴシック" w:eastAsia="ＭＳ Ｐゴシック"/>
                <w:sz w:val="22"/>
              </w:rPr>
              <w:t>人数</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tcMar>
              <w:top w:w="0" w:type="dxa"/>
              <w:left w:w="5" w:type="dxa"/>
              <w:bottom w:w="0" w:type="dxa"/>
              <w:right w:w="10" w:type="dxa"/>
            </w:tcMar>
            <w:vAlign w:val="center"/>
          </w:tcPr>
          <w:p>
            <w:pPr>
              <w:pStyle w:val="0"/>
              <w:jc w:val="center"/>
              <w:rPr>
                <w:rFonts w:hint="default"/>
                <w:sz w:val="22"/>
              </w:rPr>
            </w:pPr>
            <w:r>
              <w:rPr>
                <w:rFonts w:hint="default" w:ascii="ＭＳ Ｐゴシック" w:hAnsi="ＭＳ Ｐゴシック" w:eastAsia="ＭＳ Ｐゴシック"/>
                <w:sz w:val="22"/>
              </w:rPr>
              <w:t>割合</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rPr>
            </w:pPr>
            <w:r>
              <w:rPr>
                <w:rFonts w:hint="eastAsia"/>
              </w:rPr>
              <w:t>1</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認知症</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17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8.0</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48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42.</w:t>
            </w:r>
            <w:r>
              <w:rPr>
                <w:rFonts w:hint="eastAsia"/>
              </w:rPr>
              <mc:AlternateContent>
                <mc:Choice Requires="wps">
                  <w:drawing>
                    <wp:anchor distT="0" distB="0" distL="114300" distR="114300" simplePos="0" relativeHeight="4" behindDoc="0" locked="1" layoutInCell="1" hidden="0" allowOverlap="1">
                      <wp:simplePos x="0" y="0"/>
                      <wp:positionH relativeFrom="column">
                        <wp:posOffset>-4445</wp:posOffset>
                      </wp:positionH>
                      <wp:positionV relativeFrom="paragraph">
                        <wp:posOffset>-15875</wp:posOffset>
                      </wp:positionV>
                      <wp:extent cx="560070" cy="257175"/>
                      <wp:effectExtent l="19685" t="19685" r="29845" b="20320"/>
                      <wp:wrapNone/>
                      <wp:docPr id="1037" name="角丸四角形 1145"/>
                      <a:graphic xmlns:a="http://schemas.openxmlformats.org/drawingml/2006/main">
                        <a:graphicData uri="http://schemas.microsoft.com/office/word/2010/wordprocessingShape">
                          <wps:wsp>
                            <wps:cNvPr id="1037" name="角丸四角形 1145"/>
                            <wps:cNvSpPr/>
                            <wps:spPr>
                              <a:xfrm>
                                <a:off x="0" y="0"/>
                                <a:ext cx="560070" cy="257175"/>
                              </a:xfrm>
                              <a:prstGeom prst="roundRect">
                                <a:avLst>
                                  <a:gd name="adj" fmla="val 45238"/>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145" style="mso-wrap-distance-right:9pt;mso-wrap-distance-bottom:0pt;margin-top:-1.25pt;mso-position-vertical-relative:text;mso-position-horizontal-relative:text;position:absolute;height:20.25pt;mso-wrap-distance-top:0pt;width:44.1pt;mso-wrap-distance-left:9pt;margin-left:-0.35pt;z-index:4;" o:spid="_x0000_s1037" o:allowincell="t" o:allowoverlap="t" filled="f" stroked="t" strokecolor="#000000 [3213]" strokeweight="2.25pt" o:spt="2" arcsize="29646f">
                      <v:fill/>
                      <v:stroke linestyle="single" miterlimit="8" endcap="flat" dashstyle="solid" filltype="solid"/>
                      <v:textbox style="layout-flow:horizontal;"/>
                      <v:imagedata o:title=""/>
                      <w10:wrap type="none" anchorx="text" anchory="text"/>
                      <w10:anchorlock/>
                    </v:roundrect>
                  </w:pict>
                </mc:Fallback>
              </mc:AlternateContent>
            </w:r>
            <w:r>
              <w:rPr>
                <w:rFonts w:hint="default"/>
                <w:sz w:val="22"/>
              </w:rPr>
              <w:t>1</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21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17.8</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86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19.3</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rPr>
            </w:pPr>
            <w:r>
              <w:rPr>
                <w:rFonts w:hint="default" w:ascii="ＭＳ ゴシック" w:hAnsi="ＭＳ ゴシック" w:eastAsia="ＭＳ ゴシック"/>
                <w:sz w:val="22"/>
              </w:rPr>
              <w:t>2</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骨関節疾患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56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26.</w:t>
            </w:r>
            <w:r>
              <w:rPr>
                <w:rFonts w:hint="eastAsia"/>
              </w:rPr>
              <mc:AlternateContent>
                <mc:Choice Requires="wps">
                  <w:drawing>
                    <wp:anchor distT="0" distB="0" distL="114300" distR="114300" simplePos="0" relativeHeight="5" behindDoc="0" locked="1" layoutInCell="1" hidden="0" allowOverlap="1">
                      <wp:simplePos x="0" y="0"/>
                      <wp:positionH relativeFrom="column">
                        <wp:posOffset>-1905</wp:posOffset>
                      </wp:positionH>
                      <wp:positionV relativeFrom="paragraph">
                        <wp:posOffset>-17145</wp:posOffset>
                      </wp:positionV>
                      <wp:extent cx="560070" cy="257175"/>
                      <wp:effectExtent l="19685" t="19685" r="29845" b="20320"/>
                      <wp:wrapNone/>
                      <wp:docPr id="1038" name="角丸四角形 1145"/>
                      <a:graphic xmlns:a="http://schemas.openxmlformats.org/drawingml/2006/main">
                        <a:graphicData uri="http://schemas.microsoft.com/office/word/2010/wordprocessingShape">
                          <wps:wsp>
                            <wps:cNvPr id="1038" name="角丸四角形 1145"/>
                            <wps:cNvSpPr/>
                            <wps:spPr>
                              <a:xfrm>
                                <a:off x="0" y="0"/>
                                <a:ext cx="560070" cy="257175"/>
                              </a:xfrm>
                              <a:prstGeom prst="roundRect">
                                <a:avLst>
                                  <a:gd name="adj" fmla="val 45238"/>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145" style="mso-wrap-distance-right:9pt;mso-wrap-distance-bottom:0pt;margin-top:-1.35pt;mso-position-vertical-relative:text;mso-position-horizontal-relative:text;position:absolute;height:20.25pt;mso-wrap-distance-top:0pt;width:44.1pt;mso-wrap-distance-left:9pt;margin-left:-0.15pt;z-index:5;" o:spid="_x0000_s1038" o:allowincell="t" o:allowoverlap="t" filled="f" stroked="t" strokecolor="#000000 [3213]" strokeweight="2.25pt" o:spt="2" arcsize="29646f">
                      <v:fill/>
                      <v:stroke linestyle="single" miterlimit="8" endcap="flat" dashstyle="solid" filltype="solid"/>
                      <v:textbox style="layout-flow:horizontal;"/>
                      <v:imagedata o:title=""/>
                      <w10:wrap type="none" anchorx="text" anchory="text"/>
                      <w10:anchorlock/>
                    </v:roundrect>
                  </w:pict>
                </mc:Fallback>
              </mc:AlternateContent>
            </w:r>
            <w:r>
              <w:rPr>
                <w:rFonts w:hint="default"/>
                <w:sz w:val="22"/>
              </w:rPr>
              <w:t>3</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12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10.5</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9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7.6</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77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17.3</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3</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骨折</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15.5</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1.8</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15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12.7</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50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11.2</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4</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脳血管疾患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9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4.2</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3.5</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28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23</w:t>
            </w:r>
            <w:r>
              <w:rPr>
                <w:rFonts w:hint="eastAsia"/>
              </w:rPr>
              <mc:AlternateContent>
                <mc:Choice Requires="wps">
                  <w:drawing>
                    <wp:anchor distT="0" distB="0" distL="114300" distR="114300" simplePos="0" relativeHeight="6" behindDoc="0" locked="1" layoutInCell="1" hidden="0" allowOverlap="1">
                      <wp:simplePos x="0" y="0"/>
                      <wp:positionH relativeFrom="column">
                        <wp:posOffset>-1270</wp:posOffset>
                      </wp:positionH>
                      <wp:positionV relativeFrom="paragraph">
                        <wp:posOffset>-11430</wp:posOffset>
                      </wp:positionV>
                      <wp:extent cx="560070" cy="257175"/>
                      <wp:effectExtent l="19685" t="19685" r="29845" b="20320"/>
                      <wp:wrapNone/>
                      <wp:docPr id="1039" name="角丸四角形 1145"/>
                      <a:graphic xmlns:a="http://schemas.openxmlformats.org/drawingml/2006/main">
                        <a:graphicData uri="http://schemas.microsoft.com/office/word/2010/wordprocessingShape">
                          <wps:wsp>
                            <wps:cNvPr id="1039" name="角丸四角形 1145"/>
                            <wps:cNvSpPr/>
                            <wps:spPr>
                              <a:xfrm>
                                <a:off x="0" y="0"/>
                                <a:ext cx="560070" cy="257175"/>
                              </a:xfrm>
                              <a:prstGeom prst="roundRect">
                                <a:avLst>
                                  <a:gd name="adj" fmla="val 45238"/>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145" style="mso-wrap-distance-right:9pt;mso-wrap-distance-bottom:0pt;margin-top:-0.9pt;mso-position-vertical-relative:text;mso-position-horizontal-relative:text;position:absolute;height:20.25pt;mso-wrap-distance-top:0pt;width:44.1pt;mso-wrap-distance-left:9pt;margin-left:-0.1pt;z-index:6;" o:spid="_x0000_s1039" o:allowincell="t" o:allowoverlap="t" filled="f" stroked="t" strokecolor="#000000 [3213]" strokeweight="2.25pt" o:spt="2" arcsize="29646f">
                      <v:fill/>
                      <v:stroke linestyle="single" miterlimit="8" endcap="flat" dashstyle="solid" filltype="solid"/>
                      <v:textbox style="layout-flow:horizontal;"/>
                      <v:imagedata o:title=""/>
                      <w10:wrap type="none" anchorx="text" anchory="text"/>
                      <w10:anchorlock/>
                    </v:roundrect>
                  </w:pict>
                </mc:Fallback>
              </mc:AlternateContent>
            </w:r>
            <w:r>
              <w:rPr>
                <w:rFonts w:hint="default"/>
                <w:sz w:val="22"/>
              </w:rPr>
              <w:t>.7</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41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9.2</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5</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悪性新生物</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17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8.0</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26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22.8</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13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11.0</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56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12.6</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6</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廃用症候群</w:t>
            </w:r>
            <w:r>
              <w:rPr>
                <w:rFonts w:hint="eastAsia" w:ascii="ＭＳ ゴシック" w:hAnsi="ＭＳ ゴシック" w:eastAsia="ＭＳ ゴシック"/>
                <w:sz w:val="22"/>
                <w:vertAlign w:val="superscript"/>
              </w:rPr>
              <w:t>※</w:t>
            </w:r>
            <w:r>
              <w:rPr>
                <w:rStyle w:val="42"/>
                <w:rFonts w:hint="default" w:ascii="ＭＳ ゴシック" w:hAnsi="ＭＳ ゴシック" w:eastAsia="ＭＳ ゴシック"/>
                <w:sz w:val="22"/>
              </w:rPr>
              <w:footnoteReference w:id="1"/>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10.8</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3.5</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7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5.9</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34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7.6</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7</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呼吸器疾患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12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5.6</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2.6</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5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4.2</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20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4.5</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8</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難病</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6.1</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1.8</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1.7</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17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3.8</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9</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精神疾患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1.9</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2.6</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3.4</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11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2.5</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10</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心疾患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6.1</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2.6</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9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7.6</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25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5.6</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11</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腎・泌尿器疾患</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1.4</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0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0.0</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0.8</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4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0.9</w:t>
            </w:r>
            <w:r>
              <w:rPr>
                <w:rFonts w:hint="default"/>
                <w:sz w:val="22"/>
              </w:rPr>
              <w:t>％</w:t>
            </w:r>
          </w:p>
        </w:tc>
      </w:tr>
      <w:tr>
        <w:trPr>
          <w:trHeight w:val="330" w:hRule="atLeast"/>
        </w:trPr>
        <w:tc>
          <w:tcPr>
            <w:tcW w:w="423" w:type="dxa"/>
            <w:tcBorders>
              <w:top w:val="single" w:color="auto" w:sz="6" w:space="0"/>
              <w:left w:val="single" w:color="auto" w:sz="6" w:space="0"/>
              <w:bottom w:val="single" w:color="auto" w:sz="6"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12</w:t>
            </w:r>
          </w:p>
        </w:tc>
        <w:tc>
          <w:tcPr>
            <w:tcW w:w="1684" w:type="dxa"/>
            <w:tcBorders>
              <w:top w:val="single" w:color="auto" w:sz="6" w:space="0"/>
              <w:left w:val="single" w:color="000000" w:sz="4" w:space="0"/>
              <w:bottom w:val="single" w:color="auto" w:sz="6"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color w:val="000000" w:themeColor="text1"/>
                <w:sz w:val="22"/>
              </w:rPr>
              <w:t>糖尿病</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0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0.0</w:t>
            </w:r>
            <w:r>
              <w:rPr>
                <w:rFonts w:hint="default"/>
                <w:sz w:val="22"/>
              </w:rPr>
              <w:t>％</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 </w:t>
            </w:r>
          </w:p>
        </w:tc>
        <w:tc>
          <w:tcPr>
            <w:tcW w:w="91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0.9</w:t>
            </w:r>
            <w:r>
              <w:rPr>
                <w:rFonts w:hint="default"/>
                <w:sz w:val="22"/>
              </w:rPr>
              <w:t>％</w:t>
            </w:r>
          </w:p>
        </w:tc>
        <w:tc>
          <w:tcPr>
            <w:tcW w:w="9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 </w:t>
            </w:r>
          </w:p>
        </w:tc>
        <w:tc>
          <w:tcPr>
            <w:tcW w:w="913" w:type="dxa"/>
            <w:tcBorders>
              <w:top w:val="single" w:color="auto" w:sz="6" w:space="0"/>
              <w:left w:val="single" w:color="auto" w:sz="6" w:space="0"/>
              <w:bottom w:val="single" w:color="auto" w:sz="6"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0.8</w:t>
            </w:r>
            <w:r>
              <w:rPr>
                <w:rFonts w:hint="default"/>
                <w:sz w:val="22"/>
              </w:rPr>
              <w:t>％</w:t>
            </w:r>
          </w:p>
        </w:tc>
        <w:tc>
          <w:tcPr>
            <w:tcW w:w="913" w:type="dxa"/>
            <w:tcBorders>
              <w:top w:val="single" w:color="auto" w:sz="6" w:space="0"/>
              <w:left w:val="double" w:color="auto" w:sz="4"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 </w:t>
            </w:r>
          </w:p>
        </w:tc>
        <w:tc>
          <w:tcPr>
            <w:tcW w:w="9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0.4</w:t>
            </w:r>
            <w:r>
              <w:rPr>
                <w:rFonts w:hint="default"/>
                <w:sz w:val="22"/>
              </w:rPr>
              <w:t>％</w:t>
            </w:r>
          </w:p>
        </w:tc>
      </w:tr>
      <w:tr>
        <w:trPr>
          <w:trHeight w:val="330" w:hRule="atLeast"/>
        </w:trPr>
        <w:tc>
          <w:tcPr>
            <w:tcW w:w="423" w:type="dxa"/>
            <w:tcBorders>
              <w:top w:val="single" w:color="auto" w:sz="6" w:space="0"/>
              <w:left w:val="single" w:color="auto" w:sz="6" w:space="0"/>
              <w:bottom w:val="double" w:color="000000" w:sz="5" w:space="0"/>
              <w:right w:val="single" w:color="000000" w:sz="4" w:space="0"/>
              <w:tl2br w:val="none" w:color="auto" w:sz="0" w:space="0"/>
              <w:tr2bl w:val="none" w:color="auto" w:sz="0" w:space="0"/>
            </w:tcBorders>
            <w:shd w:val="clear" w:color="auto" w:fill="BDD6EE"/>
            <w:tcMar>
              <w:top w:w="0" w:type="dxa"/>
              <w:left w:w="10"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13</w:t>
            </w:r>
          </w:p>
        </w:tc>
        <w:tc>
          <w:tcPr>
            <w:tcW w:w="1684" w:type="dxa"/>
            <w:tcBorders>
              <w:top w:val="single" w:color="auto" w:sz="6" w:space="0"/>
              <w:left w:val="single" w:color="000000" w:sz="4" w:space="0"/>
              <w:bottom w:val="double" w:color="000000" w:sz="5" w:space="0"/>
              <w:right w:val="single" w:color="auto" w:sz="6" w:space="0"/>
              <w:tl2br w:val="none" w:color="auto" w:sz="0" w:space="0"/>
              <w:tr2bl w:val="none" w:color="auto" w:sz="0" w:space="0"/>
            </w:tcBorders>
            <w:shd w:val="clear" w:color="auto" w:fill="BDD6EE"/>
            <w:tcMar>
              <w:top w:w="0" w:type="dxa"/>
              <w:left w:w="5" w:type="dxa"/>
              <w:bottom w:w="0" w:type="dxa"/>
              <w:right w:w="5" w:type="dxa"/>
            </w:tcMar>
            <w:vAlign w:val="center"/>
          </w:tcPr>
          <w:p>
            <w:pPr>
              <w:pStyle w:val="0"/>
              <w:jc w:val="center"/>
              <w:rPr>
                <w:rFonts w:hint="default" w:ascii="ＭＳ ゴシック" w:hAnsi="ＭＳ ゴシック" w:eastAsia="ＭＳ ゴシック"/>
                <w:sz w:val="22"/>
              </w:rPr>
            </w:pPr>
            <w:r>
              <w:rPr>
                <w:rFonts w:hint="default" w:ascii="ＭＳ ゴシック" w:hAnsi="ＭＳ ゴシック" w:eastAsia="ＭＳ ゴシック"/>
                <w:sz w:val="22"/>
              </w:rPr>
              <w:t>その他</w:t>
            </w:r>
          </w:p>
        </w:tc>
        <w:tc>
          <w:tcPr>
            <w:tcW w:w="912"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13 </w:t>
            </w:r>
          </w:p>
        </w:tc>
        <w:tc>
          <w:tcPr>
            <w:tcW w:w="913"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6.1</w:t>
            </w:r>
            <w:r>
              <w:rPr>
                <w:rFonts w:hint="default"/>
                <w:sz w:val="22"/>
              </w:rPr>
              <w:t>％</w:t>
            </w:r>
          </w:p>
        </w:tc>
        <w:tc>
          <w:tcPr>
            <w:tcW w:w="913"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6 </w:t>
            </w:r>
          </w:p>
        </w:tc>
        <w:tc>
          <w:tcPr>
            <w:tcW w:w="913"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5.3</w:t>
            </w:r>
            <w:r>
              <w:rPr>
                <w:rFonts w:hint="default"/>
                <w:sz w:val="22"/>
              </w:rPr>
              <w:t>％</w:t>
            </w:r>
          </w:p>
        </w:tc>
        <w:tc>
          <w:tcPr>
            <w:tcW w:w="912"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3 </w:t>
            </w:r>
          </w:p>
        </w:tc>
        <w:tc>
          <w:tcPr>
            <w:tcW w:w="913" w:type="dxa"/>
            <w:tcBorders>
              <w:top w:val="single" w:color="auto" w:sz="6" w:space="0"/>
              <w:left w:val="single" w:color="auto" w:sz="6" w:space="0"/>
              <w:bottom w:val="double" w:color="000000" w:sz="5" w:space="0"/>
              <w:right w:val="double" w:color="auto"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2.5</w:t>
            </w:r>
            <w:r>
              <w:rPr>
                <w:rFonts w:hint="default"/>
                <w:sz w:val="22"/>
              </w:rPr>
              <w:t>％</w:t>
            </w:r>
          </w:p>
        </w:tc>
        <w:tc>
          <w:tcPr>
            <w:tcW w:w="913" w:type="dxa"/>
            <w:tcBorders>
              <w:top w:val="single" w:color="auto" w:sz="6" w:space="0"/>
              <w:left w:val="double" w:color="auto" w:sz="4" w:space="0"/>
              <w:bottom w:val="double" w:color="000000" w:sz="5" w:space="0"/>
              <w:right w:val="single" w:color="auto" w:sz="6" w:space="0"/>
              <w:tl2br w:val="none" w:color="auto" w:sz="0" w:space="0"/>
              <w:tr2bl w:val="none" w:color="auto" w:sz="0" w:space="0"/>
            </w:tcBorders>
            <w:tcMar>
              <w:top w:w="0" w:type="dxa"/>
              <w:left w:w="5" w:type="dxa"/>
              <w:bottom w:w="0" w:type="dxa"/>
              <w:right w:w="5" w:type="dxa"/>
            </w:tcMar>
            <w:vAlign w:val="top"/>
          </w:tcPr>
          <w:p>
            <w:pPr>
              <w:pStyle w:val="0"/>
              <w:jc w:val="center"/>
              <w:rPr>
                <w:rFonts w:hint="default"/>
                <w:sz w:val="22"/>
              </w:rPr>
            </w:pPr>
            <w:r>
              <w:rPr>
                <w:rFonts w:hint="default"/>
                <w:sz w:val="22"/>
              </w:rPr>
              <w:t xml:space="preserve">22 </w:t>
            </w:r>
          </w:p>
        </w:tc>
        <w:tc>
          <w:tcPr>
            <w:tcW w:w="920" w:type="dxa"/>
            <w:tcBorders>
              <w:top w:val="single" w:color="auto" w:sz="6" w:space="0"/>
              <w:left w:val="single" w:color="auto" w:sz="6" w:space="0"/>
              <w:bottom w:val="double" w:color="000000" w:sz="5" w:space="0"/>
              <w:right w:val="single" w:color="auto" w:sz="6" w:space="0"/>
              <w:tl2br w:val="none" w:color="auto" w:sz="0" w:space="0"/>
              <w:tr2bl w:val="none" w:color="auto" w:sz="0" w:space="0"/>
            </w:tcBorders>
            <w:tcMar>
              <w:top w:w="0" w:type="dxa"/>
              <w:left w:w="5" w:type="dxa"/>
              <w:bottom w:w="0" w:type="dxa"/>
              <w:right w:w="10" w:type="dxa"/>
            </w:tcMar>
            <w:vAlign w:val="top"/>
          </w:tcPr>
          <w:p>
            <w:pPr>
              <w:pStyle w:val="0"/>
              <w:jc w:val="center"/>
              <w:rPr>
                <w:rFonts w:hint="default"/>
                <w:sz w:val="22"/>
              </w:rPr>
            </w:pPr>
            <w:r>
              <w:rPr>
                <w:rFonts w:hint="default"/>
                <w:sz w:val="22"/>
              </w:rPr>
              <w:t>4.9</w:t>
            </w:r>
            <w:r>
              <w:rPr>
                <w:rFonts w:hint="default"/>
                <w:sz w:val="22"/>
              </w:rPr>
              <w:t>％</w:t>
            </w:r>
          </w:p>
        </w:tc>
      </w:tr>
      <w:tr>
        <w:trPr>
          <w:trHeight w:val="330" w:hRule="atLeast"/>
        </w:trPr>
        <w:tc>
          <w:tcPr>
            <w:tcW w:w="2107" w:type="dxa"/>
            <w:gridSpan w:val="2"/>
            <w:tcBorders>
              <w:top w:val="double" w:color="000000" w:sz="5" w:space="0"/>
              <w:left w:val="single" w:color="auto" w:sz="6" w:space="0"/>
              <w:bottom w:val="single" w:color="auto" w:sz="6" w:space="0"/>
              <w:right w:val="single" w:color="auto" w:sz="6" w:space="0"/>
              <w:tl2br w:val="none" w:color="auto" w:sz="0" w:space="0"/>
              <w:tr2bl w:val="none" w:color="auto" w:sz="0" w:space="0"/>
            </w:tcBorders>
            <w:shd w:val="clear" w:color="auto" w:fill="auto"/>
            <w:tcMar>
              <w:top w:w="0" w:type="dxa"/>
              <w:left w:w="10" w:type="dxa"/>
              <w:bottom w:w="0" w:type="dxa"/>
              <w:right w:w="5" w:type="dxa"/>
            </w:tcMar>
            <w:vAlign w:val="center"/>
          </w:tcPr>
          <w:p>
            <w:pPr>
              <w:pStyle w:val="0"/>
              <w:jc w:val="center"/>
              <w:rPr>
                <w:rFonts w:hint="default"/>
                <w:sz w:val="22"/>
              </w:rPr>
            </w:pPr>
            <w:r>
              <w:rPr>
                <w:rFonts w:hint="eastAsia"/>
                <w:sz w:val="22"/>
              </w:rPr>
              <w:t>合計</w:t>
            </w:r>
          </w:p>
        </w:tc>
        <w:tc>
          <w:tcPr>
            <w:tcW w:w="912" w:type="dxa"/>
            <w:tcBorders>
              <w:top w:val="double" w:color="000000" w:sz="5" w:space="0"/>
              <w:left w:val="single" w:color="auto" w:sz="6" w:space="0"/>
              <w:bottom w:val="single" w:color="auto" w:sz="6" w:space="0"/>
              <w:right w:val="single" w:color="auto" w:sz="6"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sz w:val="22"/>
              </w:rPr>
            </w:pPr>
            <w:r>
              <w:rPr>
                <w:rFonts w:hint="eastAsia"/>
                <w:sz w:val="22"/>
              </w:rPr>
              <w:t>213</w:t>
            </w:r>
          </w:p>
        </w:tc>
        <w:tc>
          <w:tcPr>
            <w:tcW w:w="913" w:type="dxa"/>
            <w:tcBorders>
              <w:top w:val="double" w:color="000000" w:sz="5" w:space="0"/>
              <w:left w:val="single" w:color="auto" w:sz="6" w:space="0"/>
              <w:bottom w:val="single" w:color="auto" w:sz="6" w:space="0"/>
              <w:right w:val="single" w:color="auto" w:sz="6" w:space="0"/>
              <w:tl2br w:val="single" w:color="auto" w:sz="6" w:space="0"/>
              <w:tr2bl w:val="none" w:color="auto" w:sz="0" w:space="0"/>
            </w:tcBorders>
            <w:shd w:val="clear" w:color="auto" w:fill="auto"/>
            <w:vAlign w:val="center"/>
          </w:tcPr>
          <w:p>
            <w:pPr>
              <w:pStyle w:val="0"/>
              <w:jc w:val="center"/>
              <w:rPr>
                <w:rFonts w:hint="default"/>
                <w:sz w:val="22"/>
              </w:rPr>
            </w:pPr>
          </w:p>
        </w:tc>
        <w:tc>
          <w:tcPr>
            <w:tcW w:w="913" w:type="dxa"/>
            <w:tcBorders>
              <w:top w:val="double" w:color="000000" w:sz="5" w:space="0"/>
              <w:left w:val="single" w:color="auto" w:sz="6" w:space="0"/>
              <w:bottom w:val="single" w:color="auto" w:sz="6" w:space="0"/>
              <w:right w:val="single" w:color="auto" w:sz="6"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sz w:val="22"/>
              </w:rPr>
            </w:pPr>
            <w:r>
              <w:rPr>
                <w:rFonts w:hint="eastAsia"/>
                <w:sz w:val="22"/>
              </w:rPr>
              <w:t>114</w:t>
            </w:r>
          </w:p>
        </w:tc>
        <w:tc>
          <w:tcPr>
            <w:tcW w:w="913" w:type="dxa"/>
            <w:tcBorders>
              <w:top w:val="double" w:color="000000" w:sz="5" w:space="0"/>
              <w:left w:val="single" w:color="auto" w:sz="6" w:space="0"/>
              <w:bottom w:val="single" w:color="auto" w:sz="6" w:space="0"/>
              <w:right w:val="single" w:color="auto" w:sz="6" w:space="0"/>
              <w:tl2br w:val="single" w:color="auto" w:sz="6" w:space="0"/>
              <w:tr2bl w:val="none" w:color="auto" w:sz="0" w:space="0"/>
            </w:tcBorders>
            <w:shd w:val="clear" w:color="auto" w:fill="auto"/>
            <w:vAlign w:val="center"/>
          </w:tcPr>
          <w:p>
            <w:pPr>
              <w:pStyle w:val="0"/>
              <w:jc w:val="center"/>
              <w:rPr>
                <w:rFonts w:hint="default"/>
                <w:sz w:val="22"/>
              </w:rPr>
            </w:pPr>
          </w:p>
        </w:tc>
        <w:tc>
          <w:tcPr>
            <w:tcW w:w="912" w:type="dxa"/>
            <w:tcBorders>
              <w:top w:val="double" w:color="000000" w:sz="5" w:space="0"/>
              <w:left w:val="single" w:color="auto" w:sz="6" w:space="0"/>
              <w:bottom w:val="single" w:color="auto" w:sz="6" w:space="0"/>
              <w:right w:val="single" w:color="auto" w:sz="6"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sz w:val="22"/>
              </w:rPr>
            </w:pPr>
            <w:r>
              <w:rPr>
                <w:rFonts w:hint="eastAsia"/>
                <w:sz w:val="22"/>
              </w:rPr>
              <w:t>1</w:t>
            </w:r>
            <w:r>
              <w:rPr>
                <w:rFonts w:hint="default"/>
                <w:sz w:val="22"/>
              </w:rPr>
              <w:t>18</w:t>
            </w:r>
          </w:p>
        </w:tc>
        <w:tc>
          <w:tcPr>
            <w:tcW w:w="913" w:type="dxa"/>
            <w:tcBorders>
              <w:top w:val="double" w:color="000000" w:sz="5" w:space="0"/>
              <w:left w:val="single" w:color="auto" w:sz="6" w:space="0"/>
              <w:bottom w:val="single" w:color="auto" w:sz="6" w:space="0"/>
              <w:right w:val="double" w:color="auto" w:sz="4" w:space="0"/>
              <w:tl2br w:val="single" w:color="auto" w:sz="6" w:space="0"/>
              <w:tr2bl w:val="none" w:color="auto" w:sz="0" w:space="0"/>
            </w:tcBorders>
            <w:shd w:val="clear" w:color="auto" w:fill="auto"/>
            <w:vAlign w:val="center"/>
          </w:tcPr>
          <w:p>
            <w:pPr>
              <w:pStyle w:val="0"/>
              <w:jc w:val="center"/>
              <w:rPr>
                <w:rFonts w:hint="default"/>
                <w:sz w:val="22"/>
              </w:rPr>
            </w:pPr>
          </w:p>
        </w:tc>
        <w:tc>
          <w:tcPr>
            <w:tcW w:w="913" w:type="dxa"/>
            <w:tcBorders>
              <w:top w:val="double" w:color="000000" w:sz="5" w:space="0"/>
              <w:left w:val="double" w:color="auto" w:sz="4" w:space="0"/>
              <w:bottom w:val="single" w:color="auto" w:sz="6" w:space="0"/>
              <w:right w:val="single" w:color="auto" w:sz="6" w:space="0"/>
              <w:tl2br w:val="none" w:color="auto" w:sz="0" w:space="0"/>
              <w:tr2bl w:val="none" w:color="auto" w:sz="0" w:space="0"/>
            </w:tcBorders>
            <w:shd w:val="clear" w:color="auto" w:fill="auto"/>
            <w:tcMar>
              <w:top w:w="0" w:type="dxa"/>
              <w:left w:w="5" w:type="dxa"/>
              <w:bottom w:w="0" w:type="dxa"/>
              <w:right w:w="10" w:type="dxa"/>
            </w:tcMar>
            <w:vAlign w:val="center"/>
          </w:tcPr>
          <w:p>
            <w:pPr>
              <w:pStyle w:val="0"/>
              <w:jc w:val="center"/>
              <w:rPr>
                <w:rFonts w:hint="default"/>
                <w:sz w:val="22"/>
              </w:rPr>
            </w:pPr>
            <w:r>
              <w:rPr>
                <w:rFonts w:hint="eastAsia"/>
                <w:sz w:val="22"/>
              </w:rPr>
              <w:t>4</w:t>
            </w:r>
            <w:r>
              <w:rPr>
                <w:rFonts w:hint="default"/>
                <w:sz w:val="22"/>
              </w:rPr>
              <w:t>45</w:t>
            </w:r>
          </w:p>
        </w:tc>
        <w:tc>
          <w:tcPr>
            <w:tcW w:w="920" w:type="dxa"/>
            <w:tcBorders>
              <w:top w:val="double" w:color="000000" w:sz="5" w:space="0"/>
              <w:left w:val="single" w:color="auto" w:sz="6" w:space="0"/>
              <w:bottom w:val="single" w:color="auto" w:sz="6" w:space="0"/>
              <w:right w:val="single" w:color="auto" w:sz="6" w:space="0"/>
              <w:tl2br w:val="single" w:color="auto" w:sz="6" w:space="0"/>
              <w:tr2bl w:val="none" w:color="auto" w:sz="0" w:space="0"/>
            </w:tcBorders>
            <w:shd w:val="clear" w:color="auto" w:fill="auto"/>
            <w:vAlign w:val="center"/>
          </w:tcPr>
          <w:p>
            <w:pPr>
              <w:pStyle w:val="0"/>
              <w:jc w:val="center"/>
              <w:rPr>
                <w:rFonts w:hint="default"/>
                <w:sz w:val="22"/>
              </w:rPr>
            </w:pPr>
          </w:p>
        </w:tc>
      </w:tr>
    </w:tbl>
    <w:p>
      <w:pPr>
        <w:pStyle w:val="0"/>
        <w:ind w:firstLine="400" w:firstLineChars="200"/>
        <w:rPr>
          <w:rFonts w:hint="default"/>
          <w:sz w:val="20"/>
        </w:rPr>
      </w:pPr>
      <w:r>
        <w:rPr>
          <w:rFonts w:hint="eastAsia"/>
          <w:sz w:val="20"/>
        </w:rPr>
        <w:t>※令和元年</w:t>
      </w:r>
      <w:r>
        <w:rPr>
          <w:rFonts w:hint="default"/>
          <w:sz w:val="20"/>
        </w:rPr>
        <w:t>(2019</w:t>
      </w:r>
      <w:r>
        <w:rPr>
          <w:rFonts w:hint="default"/>
          <w:sz w:val="20"/>
        </w:rPr>
        <w:t>年</w:t>
      </w:r>
      <w:r>
        <w:rPr>
          <w:rFonts w:hint="default"/>
          <w:sz w:val="20"/>
        </w:rPr>
        <w:t>)12</w:t>
      </w:r>
      <w:r>
        <w:rPr>
          <w:rFonts w:hint="default"/>
          <w:sz w:val="20"/>
        </w:rPr>
        <w:t>月から令和</w:t>
      </w:r>
      <w:r>
        <w:rPr>
          <w:rFonts w:hint="eastAsia"/>
          <w:sz w:val="20"/>
        </w:rPr>
        <w:t>２</w:t>
      </w:r>
      <w:r>
        <w:rPr>
          <w:rFonts w:hint="default"/>
          <w:sz w:val="20"/>
        </w:rPr>
        <w:t>年</w:t>
      </w:r>
      <w:r>
        <w:rPr>
          <w:rFonts w:hint="default"/>
          <w:sz w:val="20"/>
        </w:rPr>
        <w:t>(2020</w:t>
      </w:r>
      <w:r>
        <w:rPr>
          <w:rFonts w:hint="default"/>
          <w:sz w:val="20"/>
        </w:rPr>
        <w:t>年</w:t>
      </w:r>
      <w:r>
        <w:rPr>
          <w:rFonts w:hint="default"/>
          <w:sz w:val="20"/>
        </w:rPr>
        <w:t>)</w:t>
      </w:r>
      <w:r>
        <w:rPr>
          <w:rFonts w:hint="eastAsia"/>
          <w:sz w:val="20"/>
        </w:rPr>
        <w:t>３</w:t>
      </w:r>
      <w:r>
        <w:rPr>
          <w:rFonts w:hint="default"/>
          <w:sz w:val="20"/>
        </w:rPr>
        <w:t>月まで</w:t>
      </w:r>
      <w:r>
        <w:rPr>
          <w:rFonts w:hint="default"/>
          <w:sz w:val="20"/>
        </w:rPr>
        <w:t>(</w:t>
      </w:r>
      <w:r>
        <w:rPr>
          <w:rFonts w:hint="eastAsia"/>
          <w:sz w:val="20"/>
        </w:rPr>
        <w:t>４</w:t>
      </w:r>
      <w:r>
        <w:rPr>
          <w:rFonts w:hint="default"/>
          <w:sz w:val="20"/>
        </w:rPr>
        <w:t>か月間</w:t>
      </w:r>
      <w:r>
        <w:rPr>
          <w:rFonts w:hint="default"/>
          <w:sz w:val="20"/>
        </w:rPr>
        <w:t>)</w:t>
      </w:r>
      <w:r>
        <w:rPr>
          <w:rFonts w:hint="default"/>
          <w:sz w:val="20"/>
        </w:rPr>
        <w:t>に新規認定されたかたの状況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5"/>
        <w:ind w:left="0" w:leftChars="0" w:firstLine="240" w:firstLineChars="100"/>
        <w:rPr>
          <w:rFonts w:hint="default" w:ascii="ＭＳ ゴシック" w:hAnsi="ＭＳ ゴシック" w:eastAsia="ＭＳ ゴシック"/>
        </w:rPr>
      </w:pPr>
      <w:bookmarkStart w:id="6" w:name="_Toc59007759"/>
      <w:r>
        <w:rPr>
          <w:rFonts w:hint="eastAsia" w:ascii="ＭＳ ゴシック" w:hAnsi="ＭＳ ゴシック" w:eastAsia="ＭＳ ゴシック"/>
        </w:rPr>
        <w:t>イ）主な原因疾患の介護度別にみた特徴（第７</w:t>
      </w:r>
      <w:r>
        <w:rPr>
          <w:rFonts w:hint="default" w:ascii="ＭＳ ゴシック" w:hAnsi="ＭＳ ゴシック" w:eastAsia="ＭＳ ゴシック"/>
        </w:rPr>
        <w:t>期計画策定時との比較）</w:t>
      </w:r>
      <w:bookmarkEnd w:id="6"/>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①要支援１・２</w:t>
      </w:r>
    </w:p>
    <w:p>
      <w:pPr>
        <w:pStyle w:val="0"/>
        <w:ind w:left="240" w:leftChars="100" w:firstLine="240" w:firstLineChars="100"/>
        <w:jc w:val="both"/>
        <w:rPr>
          <w:rFonts w:hint="default"/>
        </w:rPr>
      </w:pPr>
      <w:r>
        <w:rPr>
          <w:rFonts w:hint="eastAsia"/>
        </w:rPr>
        <w:t>新規申請で要支援になるかたの原因疾患の第１位は骨関節疾患で、骨折を含めると４割強を占めます。要支援状態になることを予防するために、個々人にあった運動プログラムの提供や運動の場の確保が必要で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12</w:t>
      </w:r>
      <w:r>
        <w:rPr>
          <w:rFonts w:hint="eastAsia" w:ascii="ＭＳ ゴシック" w:hAnsi="ＭＳ ゴシック" w:eastAsia="ＭＳ ゴシック"/>
          <w:sz w:val="21"/>
        </w:rPr>
        <w:t>：新規に認定を受けたかたの主な原因疾患の割合（要支援１・２）</w:t>
      </w:r>
    </w:p>
    <w:tbl>
      <w:tblPr>
        <w:tblStyle w:val="60"/>
        <w:tblpPr w:leftFromText="142" w:rightFromText="142" w:topFromText="0" w:bottomFromText="0" w:vertAnchor="text" w:horzAnchor="text" w:tblpX="1257" w:tblpY="19"/>
        <w:tblW w:w="0" w:type="auto"/>
        <w:tblLayout w:type="fixed"/>
        <w:tblLook w:firstRow="1" w:lastRow="0" w:firstColumn="1" w:lastColumn="0" w:noHBand="0" w:noVBand="1" w:val="04A0"/>
      </w:tblPr>
      <w:tblGrid>
        <w:gridCol w:w="2002"/>
        <w:gridCol w:w="2310"/>
        <w:gridCol w:w="2310"/>
      </w:tblGrid>
      <w:tr>
        <w:trPr>
          <w:trHeight w:val="406"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原因疾患</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今回の調査結果</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第７期計画策定時</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骨関節疾患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6.3</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28.4</w:t>
            </w:r>
            <w:r>
              <w:rPr>
                <w:rFonts w:hint="eastAsia" w:ascii="ＭＳ 明朝" w:hAnsi="ＭＳ 明朝" w:eastAsia="ＭＳ 明朝"/>
              </w:rPr>
              <w:t>％</w:t>
            </w:r>
          </w:p>
        </w:tc>
      </w:tr>
      <w:tr>
        <w:trPr>
          <w:trHeight w:val="34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骨折</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5.5</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15.3</w:t>
            </w:r>
            <w:r>
              <w:rPr>
                <w:rFonts w:hint="eastAsia" w:ascii="ＭＳ 明朝" w:hAnsi="ＭＳ 明朝" w:eastAsia="ＭＳ 明朝"/>
              </w:rPr>
              <w:t>％</w:t>
            </w:r>
          </w:p>
        </w:tc>
      </w:tr>
      <w:tr>
        <w:trPr>
          <w:trHeight w:val="34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廃用症候群</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0.8</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6</w:t>
            </w:r>
            <w:r>
              <w:rPr>
                <w:rFonts w:hint="default" w:ascii="ＭＳ 明朝" w:hAnsi="ＭＳ 明朝" w:eastAsia="ＭＳ 明朝"/>
              </w:rPr>
              <w:t>.8</w:t>
            </w:r>
            <w:r>
              <w:rPr>
                <w:rFonts w:hint="eastAsia" w:ascii="ＭＳ 明朝" w:hAnsi="ＭＳ 明朝" w:eastAsia="ＭＳ 明朝"/>
              </w:rPr>
              <w:t>％</w:t>
            </w:r>
          </w:p>
        </w:tc>
      </w:tr>
      <w:tr>
        <w:trPr>
          <w:trHeight w:val="34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認知症</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8</w:t>
            </w:r>
            <w:r>
              <w:rPr>
                <w:rFonts w:hint="default" w:ascii="ＭＳ 明朝" w:hAnsi="ＭＳ 明朝" w:eastAsia="ＭＳ 明朝"/>
              </w:rPr>
              <w:t>.0</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8.5</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悪性新生物</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8</w:t>
            </w:r>
            <w:r>
              <w:rPr>
                <w:rFonts w:hint="default" w:ascii="ＭＳ 明朝" w:hAnsi="ＭＳ 明朝" w:eastAsia="ＭＳ 明朝"/>
              </w:rPr>
              <w:t>.0</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10.2</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難病</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6</w:t>
            </w:r>
            <w:r>
              <w:rPr>
                <w:rFonts w:hint="default" w:ascii="ＭＳ 明朝" w:hAnsi="ＭＳ 明朝" w:eastAsia="ＭＳ 明朝"/>
              </w:rPr>
              <w:t>.1</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.4</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心疾患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6</w:t>
            </w:r>
            <w:r>
              <w:rPr>
                <w:rFonts w:hint="default" w:ascii="ＭＳ 明朝" w:hAnsi="ＭＳ 明朝" w:eastAsia="ＭＳ 明朝"/>
              </w:rPr>
              <w:t>.1</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3.4</w:t>
            </w:r>
            <w:r>
              <w:rPr>
                <w:rFonts w:hint="eastAsia" w:ascii="ＭＳ 明朝" w:hAnsi="ＭＳ 明朝" w:eastAsia="ＭＳ 明朝"/>
              </w:rPr>
              <w:t>％</w:t>
            </w:r>
          </w:p>
        </w:tc>
      </w:tr>
    </w:tbl>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②要介護１</w:t>
      </w:r>
    </w:p>
    <w:p>
      <w:pPr>
        <w:pStyle w:val="0"/>
        <w:ind w:left="240" w:leftChars="100" w:firstLine="240" w:firstLineChars="100"/>
        <w:jc w:val="both"/>
        <w:rPr>
          <w:rFonts w:hint="default"/>
        </w:rPr>
      </w:pPr>
      <w:r>
        <w:rPr>
          <w:rFonts w:hint="eastAsia"/>
        </w:rPr>
        <w:t>新規申請で要介護１になるかたの原因疾患は、認知症が圧倒的に多い状況です。すでに日常生活に支障が出てきているかたも多く、サービスの導入が重要となります。また、認知症予防・重症化予防のためのアプローチも継続し、更に充実していく必要があります。</w:t>
      </w:r>
    </w:p>
    <w:p>
      <w:pPr>
        <w:pStyle w:val="0"/>
        <w:ind w:firstLine="480" w:firstLineChars="20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13</w:t>
      </w:r>
      <w:r>
        <w:rPr>
          <w:rFonts w:hint="eastAsia" w:ascii="ＭＳ ゴシック" w:hAnsi="ＭＳ ゴシック" w:eastAsia="ＭＳ ゴシック"/>
          <w:sz w:val="21"/>
        </w:rPr>
        <w:t>：新規に認定を受けたかたの主な原因疾患の割合（要介護１）</w:t>
      </w:r>
    </w:p>
    <w:tbl>
      <w:tblPr>
        <w:tblStyle w:val="60"/>
        <w:tblpPr w:leftFromText="142" w:rightFromText="142" w:topFromText="0" w:bottomFromText="0" w:vertAnchor="text" w:horzAnchor="text" w:tblpX="1338" w:tblpY="48"/>
        <w:tblW w:w="0" w:type="auto"/>
        <w:tblLayout w:type="fixed"/>
        <w:tblLook w:firstRow="1" w:lastRow="0" w:firstColumn="1" w:lastColumn="0" w:noHBand="0" w:noVBand="1" w:val="04A0"/>
      </w:tblPr>
      <w:tblGrid>
        <w:gridCol w:w="2002"/>
        <w:gridCol w:w="2310"/>
        <w:gridCol w:w="2310"/>
      </w:tblGrid>
      <w:tr>
        <w:trPr>
          <w:trHeight w:val="413"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原因疾患</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今回の調査結果</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第７期計画策定時</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認知症</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2.1</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46.8</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悪性新生物</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2</w:t>
            </w:r>
            <w:r>
              <w:rPr>
                <w:rFonts w:hint="default" w:ascii="ＭＳ 明朝" w:hAnsi="ＭＳ 明朝" w:eastAsia="ＭＳ 明朝"/>
              </w:rPr>
              <w:t>2.8</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8.9</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骨関節疾患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0.5</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10.1</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脳血管疾患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.5</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8.9</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廃用症候群</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3</w:t>
            </w:r>
            <w:r>
              <w:rPr>
                <w:rFonts w:hint="default" w:ascii="ＭＳ 明朝" w:hAnsi="ＭＳ 明朝" w:eastAsia="ＭＳ 明朝"/>
              </w:rPr>
              <w:t>.5</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5.1</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呼吸器疾患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.6</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精神疾患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.6</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3.8</w:t>
            </w:r>
            <w:r>
              <w:rPr>
                <w:rFonts w:hint="eastAsia" w:ascii="ＭＳ 明朝" w:hAnsi="ＭＳ 明朝" w:eastAsia="ＭＳ 明朝"/>
              </w:rPr>
              <w:t>％</w:t>
            </w:r>
          </w:p>
        </w:tc>
      </w:tr>
      <w:tr>
        <w:trPr>
          <w:trHeight w:val="320"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心疾患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w:t>
            </w:r>
            <w:r>
              <w:rPr>
                <w:rFonts w:hint="default" w:ascii="ＭＳ 明朝" w:hAnsi="ＭＳ 明朝" w:eastAsia="ＭＳ 明朝"/>
              </w:rPr>
              <w:t>.6</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0.0</w:t>
            </w:r>
            <w:r>
              <w:rPr>
                <w:rFonts w:hint="eastAsia" w:ascii="ＭＳ 明朝" w:hAnsi="ＭＳ 明朝" w:eastAsia="ＭＳ 明朝"/>
              </w:rPr>
              <w:t>％</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③要介護２～５</w:t>
      </w:r>
    </w:p>
    <w:p>
      <w:pPr>
        <w:pStyle w:val="0"/>
        <w:ind w:left="240" w:leftChars="100" w:firstLine="240" w:firstLineChars="100"/>
        <w:jc w:val="both"/>
        <w:rPr>
          <w:rFonts w:hint="default"/>
          <w:color w:val="FF0000"/>
        </w:rPr>
      </w:pPr>
      <w:r>
        <w:rPr>
          <w:rFonts w:hint="eastAsia"/>
          <w:color w:val="000000" w:themeColor="text1"/>
        </w:rPr>
        <w:t>新規申請で要介護２～５になるかたの原因疾患の第１位は脳血管疾患で、次いで認知症となっています。全国的にみても新規申請で要介護２～５になるかたの原因疾患の第１位は脳血管疾患であり、脳血管疾患の要因となる高血圧・高脂血症予防が重要です。　　　</w:t>
      </w:r>
    </w:p>
    <w:p>
      <w:pPr>
        <w:pStyle w:val="0"/>
        <w:ind w:left="240" w:leftChars="100" w:firstLine="240" w:firstLineChars="100"/>
        <w:jc w:val="both"/>
        <w:rPr>
          <w:rFonts w:hint="default"/>
          <w:color w:val="FF0000"/>
        </w:rPr>
      </w:pPr>
      <w:r>
        <w:rPr>
          <w:rFonts w:hint="eastAsia"/>
          <w:color w:val="000000" w:themeColor="text1"/>
        </w:rPr>
        <w:t>また、認知症を伴う骨折は、寝たきりに進展することが多いため、要介護状態の悪化を防ぐために、医療・介護連携を進め適切なサービスの提供が必要になります。</w:t>
      </w:r>
    </w:p>
    <w:p>
      <w:pPr>
        <w:pStyle w:val="0"/>
        <w:rPr>
          <w:rFonts w:hint="default"/>
          <w:color w:val="FF0000"/>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14</w:t>
      </w:r>
      <w:r>
        <w:rPr>
          <w:rFonts w:hint="eastAsia" w:ascii="ＭＳ ゴシック" w:hAnsi="ＭＳ ゴシック" w:eastAsia="ＭＳ ゴシック"/>
          <w:sz w:val="21"/>
        </w:rPr>
        <w:t>：新規に認定を受けたかたの主な原因疾患の割合（要介護２～５）</w:t>
      </w:r>
    </w:p>
    <w:tbl>
      <w:tblPr>
        <w:tblStyle w:val="60"/>
        <w:tblpPr w:leftFromText="142" w:rightFromText="142" w:topFromText="0" w:bottomFromText="0" w:vertAnchor="text" w:horzAnchor="text" w:tblpX="1338" w:tblpY="48"/>
        <w:tblW w:w="0" w:type="auto"/>
        <w:tblLayout w:type="fixed"/>
        <w:tblLook w:firstRow="1" w:lastRow="0" w:firstColumn="1" w:lastColumn="0" w:noHBand="0" w:noVBand="1" w:val="04A0"/>
      </w:tblPr>
      <w:tblGrid>
        <w:gridCol w:w="2002"/>
        <w:gridCol w:w="2310"/>
        <w:gridCol w:w="2310"/>
      </w:tblGrid>
      <w:tr>
        <w:trPr>
          <w:trHeight w:val="413"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原因疾患</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今回の調査結果</w:t>
            </w:r>
          </w:p>
        </w:tc>
        <w:tc>
          <w:tcPr>
            <w:tcW w:w="2310" w:type="dxa"/>
            <w:tcBorders>
              <w:top w:val="single" w:color="auto" w:sz="6" w:space="0"/>
              <w:left w:val="single" w:color="auto" w:sz="6" w:space="0"/>
              <w:bottom w:val="single" w:color="auto" w:sz="6" w:space="0"/>
              <w:right w:val="single" w:color="auto" w:sz="6" w:space="0"/>
              <w:tl2br w:val="nil"/>
              <w:tr2bl w:val="nil"/>
            </w:tcBorders>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第７期計画策定時</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脳血管疾患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23.7</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15.0</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認知症</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17.8</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15.7</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骨折</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12.7</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16.4</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悪性新生物</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11.0</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13.6</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骨関節疾患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7.6</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r>
              <w:rPr>
                <w:rFonts w:hint="eastAsia" w:ascii="ＭＳ 明朝" w:hAnsi="ＭＳ 明朝" w:eastAsia="ＭＳ 明朝"/>
              </w:rPr>
              <w:t>5.0</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心疾患</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7.6</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2.9</w:t>
            </w:r>
            <w:r>
              <w:rPr>
                <w:rFonts w:hint="eastAsia" w:ascii="ＭＳ 明朝" w:hAnsi="ＭＳ 明朝" w:eastAsia="ＭＳ 明朝"/>
              </w:rPr>
              <w:t>％</w:t>
            </w:r>
          </w:p>
        </w:tc>
      </w:tr>
      <w:tr>
        <w:trPr>
          <w:trHeight w:val="374" w:hRule="atLeast"/>
        </w:trPr>
        <w:tc>
          <w:tcPr>
            <w:tcW w:w="200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廃用症候群</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5.9</w:t>
            </w:r>
            <w:r>
              <w:rPr>
                <w:rFonts w:hint="eastAsia" w:ascii="ＭＳ 明朝" w:hAnsi="ＭＳ 明朝" w:eastAsia="ＭＳ 明朝"/>
              </w:rPr>
              <w:t>％</w:t>
            </w:r>
          </w:p>
        </w:tc>
        <w:tc>
          <w:tcPr>
            <w:tcW w:w="2310"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5.7</w:t>
            </w:r>
            <w:r>
              <w:rPr>
                <w:rFonts w:hint="eastAsia" w:ascii="ＭＳ 明朝" w:hAnsi="ＭＳ 明朝" w:eastAsia="ＭＳ 明朝"/>
              </w:rPr>
              <w:t>％</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4"/>
        <w:ind w:left="0" w:leftChars="0"/>
        <w:rPr>
          <w:rFonts w:hint="default" w:ascii="メイリオ" w:hAnsi="メイリオ" w:eastAsia="メイリオ"/>
          <w:b w:val="0"/>
          <w:sz w:val="28"/>
        </w:rPr>
      </w:pPr>
      <w:bookmarkStart w:id="7" w:name="_Toc59007760"/>
      <w:r>
        <w:rPr>
          <w:rFonts w:hint="eastAsia" w:ascii="メイリオ" w:hAnsi="メイリオ" w:eastAsia="メイリオ"/>
          <w:b w:val="0"/>
          <w:sz w:val="28"/>
        </w:rPr>
        <w:t>（４）認知症高齢者の日常生活自立度の割合の推移</w:t>
      </w:r>
      <w:bookmarkEnd w:id="7"/>
    </w:p>
    <w:p>
      <w:pPr>
        <w:pStyle w:val="38"/>
        <w:ind w:left="0" w:leftChars="0" w:firstLine="240" w:firstLineChars="100"/>
        <w:jc w:val="both"/>
        <w:rPr>
          <w:rFonts w:hint="default"/>
          <w:b w:val="0"/>
          <w:sz w:val="24"/>
        </w:rPr>
      </w:pPr>
      <w:r>
        <w:rPr>
          <w:rFonts w:hint="eastAsia"/>
          <w:b w:val="0"/>
          <w:sz w:val="24"/>
        </w:rPr>
        <w:t>国の推計によれば、</w:t>
      </w:r>
      <w:r>
        <w:rPr>
          <w:rFonts w:hint="eastAsia"/>
          <w:b w:val="0"/>
          <w:sz w:val="24"/>
        </w:rPr>
        <w:t>65</w:t>
      </w:r>
      <w:r>
        <w:rPr>
          <w:rFonts w:hint="eastAsia"/>
          <w:b w:val="0"/>
          <w:sz w:val="24"/>
        </w:rPr>
        <w:t>歳以上人口に占める認知症高齢者の日常生活自立度Ⅱ以上の人の割合は、今後、</w:t>
      </w:r>
      <w:r>
        <w:rPr>
          <w:rFonts w:hint="eastAsia"/>
          <w:b w:val="0"/>
          <w:sz w:val="24"/>
        </w:rPr>
        <w:t>11.3</w:t>
      </w:r>
      <w:r>
        <w:rPr>
          <w:rFonts w:hint="eastAsia"/>
          <w:b w:val="0"/>
          <w:sz w:val="24"/>
        </w:rPr>
        <w:t>％（令和２年</w:t>
      </w:r>
      <w:r>
        <w:rPr>
          <w:rFonts w:hint="eastAsia"/>
          <w:b w:val="0"/>
          <w:sz w:val="24"/>
        </w:rPr>
        <w:t>(2020</w:t>
      </w:r>
      <w:r>
        <w:rPr>
          <w:rFonts w:hint="eastAsia"/>
          <w:b w:val="0"/>
          <w:sz w:val="24"/>
        </w:rPr>
        <w:t>年</w:t>
      </w:r>
      <w:r>
        <w:rPr>
          <w:rFonts w:hint="eastAsia"/>
          <w:b w:val="0"/>
          <w:sz w:val="24"/>
        </w:rPr>
        <w:t>)</w:t>
      </w:r>
      <w:r>
        <w:rPr>
          <w:rFonts w:hint="eastAsia"/>
          <w:b w:val="0"/>
          <w:sz w:val="24"/>
        </w:rPr>
        <w:t>）から</w:t>
      </w:r>
      <w:r>
        <w:rPr>
          <w:rFonts w:hint="eastAsia"/>
          <w:b w:val="0"/>
          <w:sz w:val="24"/>
        </w:rPr>
        <w:t>12.8</w:t>
      </w:r>
      <w:r>
        <w:rPr>
          <w:rFonts w:hint="eastAsia"/>
          <w:b w:val="0"/>
          <w:sz w:val="24"/>
        </w:rPr>
        <w:t>％（令和７年</w:t>
      </w:r>
      <w:r>
        <w:rPr>
          <w:rFonts w:hint="eastAsia"/>
          <w:b w:val="0"/>
          <w:sz w:val="24"/>
        </w:rPr>
        <w:t>(2025</w:t>
      </w:r>
      <w:r>
        <w:rPr>
          <w:rFonts w:hint="eastAsia"/>
          <w:b w:val="0"/>
          <w:sz w:val="24"/>
        </w:rPr>
        <w:t>年</w:t>
      </w:r>
      <w:r>
        <w:rPr>
          <w:rFonts w:hint="eastAsia"/>
          <w:b w:val="0"/>
          <w:sz w:val="24"/>
        </w:rPr>
        <w:t>)</w:t>
      </w:r>
      <w:r>
        <w:rPr>
          <w:rFonts w:hint="eastAsia"/>
          <w:b w:val="0"/>
          <w:sz w:val="24"/>
        </w:rPr>
        <w:t>）と</w:t>
      </w:r>
      <w:r>
        <w:rPr>
          <w:rFonts w:hint="eastAsia"/>
          <w:b w:val="0"/>
          <w:sz w:val="24"/>
        </w:rPr>
        <w:t>1.5</w:t>
      </w:r>
      <w:r>
        <w:rPr>
          <w:rFonts w:hint="eastAsia"/>
          <w:b w:val="0"/>
          <w:sz w:val="24"/>
        </w:rPr>
        <w:t>ポイントの増加が見込まれています。</w:t>
      </w:r>
    </w:p>
    <w:p>
      <w:pPr>
        <w:pStyle w:val="38"/>
        <w:ind w:left="0" w:leftChars="0" w:firstLine="240" w:firstLineChars="100"/>
        <w:jc w:val="both"/>
        <w:rPr>
          <w:rFonts w:hint="default"/>
          <w:b w:val="0"/>
          <w:sz w:val="24"/>
        </w:rPr>
      </w:pPr>
      <w:r>
        <w:rPr>
          <w:rFonts w:hint="eastAsia"/>
          <w:b w:val="0"/>
          <w:sz w:val="24"/>
        </w:rPr>
        <w:t>本市においても、平成</w:t>
      </w:r>
      <w:r>
        <w:rPr>
          <w:rFonts w:hint="eastAsia"/>
          <w:b w:val="0"/>
          <w:sz w:val="24"/>
        </w:rPr>
        <w:t>21</w:t>
      </w:r>
      <w:r>
        <w:rPr>
          <w:rFonts w:hint="eastAsia"/>
          <w:b w:val="0"/>
          <w:sz w:val="24"/>
        </w:rPr>
        <w:t>年度</w:t>
      </w:r>
      <w:r>
        <w:rPr>
          <w:rFonts w:hint="eastAsia"/>
          <w:b w:val="0"/>
          <w:sz w:val="24"/>
        </w:rPr>
        <w:t>(</w:t>
      </w:r>
      <w:r>
        <w:rPr>
          <w:rFonts w:hint="default"/>
          <w:b w:val="0"/>
          <w:sz w:val="24"/>
        </w:rPr>
        <w:t>2009</w:t>
      </w:r>
      <w:r>
        <w:rPr>
          <w:rFonts w:hint="eastAsia"/>
          <w:b w:val="0"/>
          <w:sz w:val="24"/>
        </w:rPr>
        <w:t>年度</w:t>
      </w:r>
      <w:r>
        <w:rPr>
          <w:rFonts w:hint="default"/>
          <w:b w:val="0"/>
          <w:sz w:val="24"/>
        </w:rPr>
        <w:t>)</w:t>
      </w:r>
      <w:r>
        <w:rPr>
          <w:rFonts w:hint="eastAsia"/>
          <w:b w:val="0"/>
          <w:sz w:val="24"/>
        </w:rPr>
        <w:t>の</w:t>
      </w:r>
      <w:r>
        <w:rPr>
          <w:rFonts w:hint="eastAsia"/>
          <w:b w:val="0"/>
          <w:sz w:val="24"/>
        </w:rPr>
        <w:t>8.2</w:t>
      </w:r>
      <w:r>
        <w:rPr>
          <w:rFonts w:hint="eastAsia"/>
          <w:b w:val="0"/>
          <w:sz w:val="24"/>
        </w:rPr>
        <w:t>％から令和元年度</w:t>
      </w:r>
      <w:r>
        <w:rPr>
          <w:rFonts w:hint="eastAsia"/>
          <w:b w:val="0"/>
          <w:sz w:val="24"/>
        </w:rPr>
        <w:t>(</w:t>
      </w:r>
      <w:r>
        <w:rPr>
          <w:rFonts w:hint="default"/>
          <w:b w:val="0"/>
          <w:sz w:val="24"/>
        </w:rPr>
        <w:t>2019</w:t>
      </w:r>
      <w:r>
        <w:rPr>
          <w:rFonts w:hint="eastAsia"/>
          <w:b w:val="0"/>
          <w:sz w:val="24"/>
        </w:rPr>
        <w:t>年度</w:t>
      </w:r>
      <w:r>
        <w:rPr>
          <w:rFonts w:hint="default"/>
          <w:b w:val="0"/>
          <w:sz w:val="24"/>
        </w:rPr>
        <w:t>)</w:t>
      </w:r>
      <w:r>
        <w:rPr>
          <w:rFonts w:hint="eastAsia"/>
          <w:b w:val="0"/>
          <w:sz w:val="24"/>
        </w:rPr>
        <w:t>の</w:t>
      </w:r>
      <w:r>
        <w:rPr>
          <w:rFonts w:hint="eastAsia"/>
          <w:b w:val="0"/>
          <w:sz w:val="24"/>
        </w:rPr>
        <w:t>1</w:t>
      </w:r>
      <w:r>
        <w:rPr>
          <w:rFonts w:hint="default"/>
          <w:b w:val="0"/>
          <w:sz w:val="24"/>
        </w:rPr>
        <w:t>1.</w:t>
      </w:r>
      <w:r>
        <w:rPr>
          <w:rFonts w:hint="eastAsia"/>
          <w:b w:val="0"/>
          <w:sz w:val="24"/>
        </w:rPr>
        <w:t>4</w:t>
      </w:r>
      <w:r>
        <w:rPr>
          <w:rFonts w:hint="eastAsia"/>
          <w:b w:val="0"/>
          <w:sz w:val="24"/>
        </w:rPr>
        <w:t>％と増加しており、今後も増加が見込まれます。</w:t>
      </w:r>
    </w:p>
    <w:p>
      <w:pPr>
        <w:pStyle w:val="38"/>
        <w:ind w:left="0" w:leftChars="0"/>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15" behindDoc="1" locked="0" layoutInCell="1" hidden="0" allowOverlap="1">
            <wp:simplePos x="0" y="0"/>
            <wp:positionH relativeFrom="column">
              <wp:posOffset>28575</wp:posOffset>
            </wp:positionH>
            <wp:positionV relativeFrom="paragraph">
              <wp:posOffset>66675</wp:posOffset>
            </wp:positionV>
            <wp:extent cx="6057900" cy="2476500"/>
            <wp:effectExtent l="0" t="0" r="0" b="0"/>
            <wp:wrapNone/>
            <wp:docPr id="1040" name="Picture 2"/>
            <a:graphic xmlns:a="http://schemas.openxmlformats.org/drawingml/2006/main">
              <a:graphicData uri="http://schemas.openxmlformats.org/drawingml/2006/picture">
                <pic:pic xmlns:pic="http://schemas.openxmlformats.org/drawingml/2006/picture">
                  <pic:nvPicPr>
                    <pic:cNvPr id="1040" name="Picture 2"/>
                    <pic:cNvPicPr>
                      <a:picLocks noChangeAspect="1" noChangeArrowheads="1"/>
                    </pic:cNvPicPr>
                  </pic:nvPicPr>
                  <pic:blipFill>
                    <a:blip r:embed="rId18"/>
                    <a:stretch>
                      <a:fillRect/>
                    </a:stretch>
                  </pic:blipFill>
                  <pic:spPr>
                    <a:xfrm>
                      <a:off x="0" y="0"/>
                      <a:ext cx="6057900" cy="247650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15</w:t>
      </w:r>
      <w:r>
        <w:rPr>
          <w:rFonts w:hint="eastAsia" w:ascii="ＭＳ ゴシック" w:hAnsi="ＭＳ ゴシック" w:eastAsia="ＭＳ ゴシック"/>
          <w:sz w:val="21"/>
        </w:rPr>
        <w:t>：箕面市</w:t>
      </w:r>
      <w:r>
        <w:rPr>
          <w:rFonts w:hint="eastAsia" w:ascii="ＭＳ ゴシック" w:hAnsi="ＭＳ ゴシック" w:eastAsia="ＭＳ ゴシック"/>
          <w:sz w:val="21"/>
        </w:rPr>
        <w:t>65</w:t>
      </w:r>
      <w:r>
        <w:rPr>
          <w:rFonts w:hint="eastAsia" w:ascii="ＭＳ ゴシック" w:hAnsi="ＭＳ ゴシック" w:eastAsia="ＭＳ ゴシック"/>
          <w:sz w:val="21"/>
        </w:rPr>
        <w:t>歳以上人口に占める認知症高齢者の日常生活自立度Ⅱ以上の割合</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00" w:firstLineChars="100"/>
        <w:rPr>
          <w:rFonts w:hint="default"/>
          <w:sz w:val="20"/>
        </w:rPr>
      </w:pPr>
      <w:r>
        <w:rPr>
          <w:rFonts w:hint="eastAsia"/>
          <w:sz w:val="20"/>
        </w:rPr>
        <w:t>※各年度３月末</w:t>
      </w:r>
    </w:p>
    <w:p>
      <w:pPr>
        <w:pStyle w:val="0"/>
        <w:rPr>
          <w:rFonts w:hint="default"/>
          <w:sz w:val="20"/>
        </w:rPr>
      </w:pPr>
    </w:p>
    <w:tbl>
      <w:tblPr>
        <w:tblStyle w:val="60"/>
        <w:tblpPr w:leftFromText="142" w:rightFromText="142" w:topFromText="0" w:bottomFromText="0" w:vertAnchor="text" w:horzAnchor="text" w:tblpX="706" w:tblpY="396"/>
        <w:tblW w:w="0" w:type="auto"/>
        <w:tblLayout w:type="fixed"/>
        <w:tblLook w:firstRow="1" w:lastRow="0" w:firstColumn="1" w:lastColumn="0" w:noHBand="0" w:noVBand="1" w:val="04A0"/>
      </w:tblPr>
      <w:tblGrid>
        <w:gridCol w:w="2155"/>
        <w:gridCol w:w="6488"/>
      </w:tblGrid>
      <w:tr>
        <w:trPr/>
        <w:tc>
          <w:tcPr>
            <w:tcW w:w="2155" w:type="dxa"/>
            <w:shd w:val="clear" w:color="auto" w:themeFill="accent5"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日常生活自立度Ⅰ</w:t>
            </w:r>
          </w:p>
        </w:tc>
        <w:tc>
          <w:tcPr>
            <w:tcW w:w="6488" w:type="dxa"/>
            <w:vAlign w:val="top"/>
          </w:tcPr>
          <w:p>
            <w:pPr>
              <w:pStyle w:val="0"/>
              <w:jc w:val="both"/>
              <w:rPr>
                <w:rFonts w:hint="default" w:ascii="ＭＳ 明朝" w:hAnsi="ＭＳ 明朝" w:eastAsia="ＭＳ 明朝"/>
              </w:rPr>
            </w:pPr>
            <w:r>
              <w:rPr>
                <w:rFonts w:hint="eastAsia" w:ascii="ＭＳ 明朝" w:hAnsi="ＭＳ 明朝" w:eastAsia="ＭＳ 明朝"/>
              </w:rPr>
              <w:t>認知症を有するが、家庭内・社会での日常生活は自立</w:t>
            </w:r>
          </w:p>
        </w:tc>
      </w:tr>
      <w:tr>
        <w:trPr/>
        <w:tc>
          <w:tcPr>
            <w:tcW w:w="2155" w:type="dxa"/>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日常生活自立度Ⅱ</w:t>
            </w:r>
          </w:p>
        </w:tc>
        <w:tc>
          <w:tcPr>
            <w:tcW w:w="6488" w:type="dxa"/>
            <w:vAlign w:val="top"/>
          </w:tcPr>
          <w:p>
            <w:pPr>
              <w:pStyle w:val="0"/>
              <w:jc w:val="both"/>
              <w:rPr>
                <w:rFonts w:hint="default" w:ascii="ＭＳ 明朝" w:hAnsi="ＭＳ 明朝" w:eastAsia="ＭＳ 明朝"/>
              </w:rPr>
            </w:pPr>
            <w:r>
              <w:rPr>
                <w:rFonts w:hint="eastAsia" w:ascii="ＭＳ 明朝" w:hAnsi="ＭＳ 明朝" w:eastAsia="ＭＳ 明朝"/>
              </w:rPr>
              <w:t>生活に支障のある症状等があるが、他者の注意があれば自立</w:t>
            </w:r>
          </w:p>
          <w:p>
            <w:pPr>
              <w:pStyle w:val="0"/>
              <w:ind w:firstLine="210" w:firstLineChars="100"/>
              <w:jc w:val="both"/>
              <w:rPr>
                <w:rFonts w:hint="default" w:ascii="ＭＳ 明朝" w:hAnsi="ＭＳ 明朝" w:eastAsia="ＭＳ 明朝"/>
              </w:rPr>
            </w:pPr>
            <w:r>
              <w:rPr>
                <w:rFonts w:hint="eastAsia" w:ascii="ＭＳ 明朝" w:hAnsi="ＭＳ 明朝" w:eastAsia="ＭＳ 明朝"/>
              </w:rPr>
              <w:t>a.</w:t>
            </w:r>
            <w:r>
              <w:rPr>
                <w:rFonts w:hint="eastAsia" w:ascii="ＭＳ 明朝" w:hAnsi="ＭＳ 明朝" w:eastAsia="ＭＳ 明朝"/>
              </w:rPr>
              <w:t>　家庭外で、上述の状態がみられる</w:t>
            </w:r>
          </w:p>
          <w:p>
            <w:pPr>
              <w:pStyle w:val="0"/>
              <w:ind w:firstLine="210" w:firstLineChars="100"/>
              <w:jc w:val="both"/>
              <w:rPr>
                <w:rFonts w:hint="default"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　家庭内でも、上述の状態がみられる</w:t>
            </w:r>
          </w:p>
        </w:tc>
      </w:tr>
      <w:tr>
        <w:trPr/>
        <w:tc>
          <w:tcPr>
            <w:tcW w:w="2155" w:type="dxa"/>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日常生活自立度Ⅲ</w:t>
            </w:r>
          </w:p>
        </w:tc>
        <w:tc>
          <w:tcPr>
            <w:tcW w:w="6488" w:type="dxa"/>
            <w:vAlign w:val="top"/>
          </w:tcPr>
          <w:p>
            <w:pPr>
              <w:pStyle w:val="0"/>
              <w:jc w:val="both"/>
              <w:rPr>
                <w:rFonts w:hint="default" w:ascii="ＭＳ 明朝" w:hAnsi="ＭＳ 明朝" w:eastAsia="ＭＳ 明朝"/>
              </w:rPr>
            </w:pPr>
            <w:r>
              <w:rPr>
                <w:rFonts w:hint="eastAsia" w:ascii="ＭＳ 明朝" w:hAnsi="ＭＳ 明朝" w:eastAsia="ＭＳ 明朝"/>
              </w:rPr>
              <w:t>日常生活に支障のある症状等があり、介護が必要</w:t>
            </w:r>
          </w:p>
          <w:p>
            <w:pPr>
              <w:pStyle w:val="0"/>
              <w:ind w:firstLine="210" w:firstLineChars="100"/>
              <w:jc w:val="both"/>
              <w:rPr>
                <w:rFonts w:hint="default" w:ascii="ＭＳ 明朝" w:hAnsi="ＭＳ 明朝" w:eastAsia="ＭＳ 明朝"/>
              </w:rPr>
            </w:pPr>
            <w:r>
              <w:rPr>
                <w:rFonts w:hint="eastAsia" w:ascii="ＭＳ 明朝" w:hAnsi="ＭＳ 明朝" w:eastAsia="ＭＳ 明朝"/>
              </w:rPr>
              <w:t>a.</w:t>
            </w:r>
            <w:r>
              <w:rPr>
                <w:rFonts w:hint="eastAsia" w:ascii="ＭＳ 明朝" w:hAnsi="ＭＳ 明朝" w:eastAsia="ＭＳ 明朝"/>
              </w:rPr>
              <w:t>　日中を中心として、上述の状態がみられる</w:t>
            </w:r>
          </w:p>
          <w:p>
            <w:pPr>
              <w:pStyle w:val="0"/>
              <w:ind w:firstLine="210" w:firstLineChars="100"/>
              <w:jc w:val="both"/>
              <w:rPr>
                <w:rFonts w:hint="default"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　夜間を中心として、上述の状態がみられる</w:t>
            </w:r>
          </w:p>
        </w:tc>
      </w:tr>
      <w:tr>
        <w:trPr/>
        <w:tc>
          <w:tcPr>
            <w:tcW w:w="2155" w:type="dxa"/>
            <w:shd w:val="clear" w:color="auto" w:themeFill="accent5"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日常生活自立度Ⅳ</w:t>
            </w:r>
          </w:p>
        </w:tc>
        <w:tc>
          <w:tcPr>
            <w:tcW w:w="6488" w:type="dxa"/>
            <w:vAlign w:val="top"/>
          </w:tcPr>
          <w:p>
            <w:pPr>
              <w:pStyle w:val="0"/>
              <w:jc w:val="both"/>
              <w:rPr>
                <w:rFonts w:hint="default" w:ascii="ＭＳ 明朝" w:hAnsi="ＭＳ 明朝" w:eastAsia="ＭＳ 明朝"/>
              </w:rPr>
            </w:pPr>
            <w:r>
              <w:rPr>
                <w:rFonts w:hint="eastAsia" w:ascii="ＭＳ 明朝" w:hAnsi="ＭＳ 明朝" w:eastAsia="ＭＳ 明朝"/>
              </w:rPr>
              <w:t>日常生活に支障のある症状等が頻繁にあり、常時の介護が必要</w:t>
            </w:r>
          </w:p>
        </w:tc>
      </w:tr>
      <w:tr>
        <w:trPr/>
        <w:tc>
          <w:tcPr>
            <w:tcW w:w="2155" w:type="dxa"/>
            <w:shd w:val="clear" w:color="auto" w:themeFill="accent5"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日常生活自立度Ｍ</w:t>
            </w:r>
          </w:p>
        </w:tc>
        <w:tc>
          <w:tcPr>
            <w:tcW w:w="6488" w:type="dxa"/>
            <w:vAlign w:val="top"/>
          </w:tcPr>
          <w:p>
            <w:pPr>
              <w:pStyle w:val="0"/>
              <w:jc w:val="both"/>
              <w:rPr>
                <w:rFonts w:hint="default" w:ascii="ＭＳ 明朝" w:hAnsi="ＭＳ 明朝" w:eastAsia="ＭＳ 明朝"/>
              </w:rPr>
            </w:pPr>
            <w:r>
              <w:rPr>
                <w:rFonts w:hint="eastAsia" w:ascii="ＭＳ 明朝" w:hAnsi="ＭＳ 明朝" w:eastAsia="ＭＳ 明朝"/>
              </w:rPr>
              <w:t>著しい精神症状・問題行動等がみられ、専門医療が必要</w:t>
            </w:r>
          </w:p>
        </w:tc>
      </w:tr>
    </w:tbl>
    <w:p>
      <w:pPr>
        <w:pStyle w:val="0"/>
        <w:ind w:firstLine="210" w:firstLineChars="10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16</w:t>
      </w:r>
      <w:r>
        <w:rPr>
          <w:rFonts w:hint="eastAsia" w:ascii="ＭＳ ゴシック" w:hAnsi="ＭＳ ゴシック" w:eastAsia="ＭＳ ゴシック"/>
          <w:sz w:val="21"/>
        </w:rPr>
        <w:t>：認知症高齢者の日常生活自立度判定基準（要約）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4"/>
        <w:ind w:left="0" w:leftChars="0"/>
        <w:rPr>
          <w:rFonts w:hint="default" w:ascii="メイリオ" w:hAnsi="メイリオ" w:eastAsia="メイリオ"/>
          <w:b w:val="0"/>
          <w:sz w:val="28"/>
        </w:rPr>
      </w:pPr>
      <w:bookmarkStart w:id="8" w:name="_Toc59007761"/>
      <w:r>
        <w:rPr>
          <w:rFonts w:hint="eastAsia" w:ascii="メイリオ" w:hAnsi="メイリオ" w:eastAsia="メイリオ"/>
          <w:b w:val="0"/>
          <w:sz w:val="28"/>
        </w:rPr>
        <w:t>（５）高齢者のみの世帯の推移</w:t>
      </w:r>
      <w:bookmarkEnd w:id="8"/>
    </w:p>
    <w:p>
      <w:pPr>
        <w:pStyle w:val="0"/>
        <w:ind w:firstLine="240" w:firstLineChars="100"/>
        <w:jc w:val="both"/>
        <w:rPr>
          <w:rFonts w:hint="default"/>
        </w:rPr>
      </w:pPr>
      <w:r>
        <w:rPr>
          <w:rFonts w:hint="eastAsia"/>
        </w:rPr>
        <w:t>本市では、令和元年度</w:t>
      </w:r>
      <w:r>
        <w:rPr>
          <w:rFonts w:hint="eastAsia"/>
        </w:rPr>
        <w:t>(2019</w:t>
      </w:r>
      <w:r>
        <w:rPr>
          <w:rFonts w:hint="eastAsia"/>
        </w:rPr>
        <w:t>年度</w:t>
      </w:r>
      <w:r>
        <w:rPr>
          <w:rFonts w:hint="eastAsia"/>
        </w:rPr>
        <w:t>)</w:t>
      </w:r>
      <w:r>
        <w:rPr>
          <w:rFonts w:hint="eastAsia"/>
        </w:rPr>
        <w:t>で高齢者のみの世帯は</w:t>
      </w:r>
      <w:r>
        <w:rPr>
          <w:rFonts w:hint="eastAsia"/>
        </w:rPr>
        <w:t>1</w:t>
      </w:r>
      <w:r>
        <w:rPr>
          <w:rFonts w:hint="default"/>
        </w:rPr>
        <w:t>7,202</w:t>
      </w:r>
      <w:r>
        <w:rPr>
          <w:rFonts w:hint="eastAsia"/>
        </w:rPr>
        <w:t>世帯であり、高齢者のみの世帯が全世帯数（</w:t>
      </w:r>
      <w:r>
        <w:rPr>
          <w:rFonts w:hint="eastAsia"/>
        </w:rPr>
        <w:t>6</w:t>
      </w:r>
      <w:r>
        <w:rPr>
          <w:rFonts w:hint="default"/>
        </w:rPr>
        <w:t>1,471</w:t>
      </w:r>
      <w:r>
        <w:rPr>
          <w:rFonts w:hint="eastAsia"/>
        </w:rPr>
        <w:t>世帯）に占める割合は</w:t>
      </w:r>
      <w:r>
        <w:rPr>
          <w:rFonts w:hint="eastAsia"/>
        </w:rPr>
        <w:t>2</w:t>
      </w:r>
      <w:r>
        <w:rPr>
          <w:rFonts w:hint="default"/>
        </w:rPr>
        <w:t>8.0</w:t>
      </w:r>
      <w:r>
        <w:rPr>
          <w:rFonts w:hint="eastAsia"/>
        </w:rPr>
        <w:t>％となっており、世帯数及び構成比ともに年々増加傾向にあります。</w:t>
      </w:r>
    </w:p>
    <w:p>
      <w:pPr>
        <w:pStyle w:val="0"/>
        <w:rPr>
          <w:rFonts w:hint="default"/>
        </w:rPr>
      </w:pPr>
    </w:p>
    <w:p>
      <w:pPr>
        <w:pStyle w:val="0"/>
        <w:jc w:val="center"/>
        <w:rPr>
          <w:rFonts w:hint="default" w:ascii="ＭＳ ゴシック" w:hAnsi="ＭＳ ゴシック" w:eastAsia="ＭＳ ゴシック"/>
          <w:sz w:val="21"/>
        </w:rPr>
      </w:pPr>
      <w:r>
        <w:rPr>
          <w:rFonts w:hint="default"/>
        </w:rPr>
        <w:drawing>
          <wp:anchor distT="0" distB="0" distL="114300" distR="114300" simplePos="0" relativeHeight="10" behindDoc="1" locked="0" layoutInCell="1" hidden="0" allowOverlap="1">
            <wp:simplePos x="0" y="0"/>
            <wp:positionH relativeFrom="column">
              <wp:posOffset>5080</wp:posOffset>
            </wp:positionH>
            <wp:positionV relativeFrom="paragraph">
              <wp:posOffset>157480</wp:posOffset>
            </wp:positionV>
            <wp:extent cx="6177280" cy="3497580"/>
            <wp:effectExtent l="0" t="0" r="0" b="0"/>
            <wp:wrapNone/>
            <wp:docPr id="1041" name="Picture 18"/>
            <a:graphic xmlns:a="http://schemas.openxmlformats.org/drawingml/2006/main">
              <a:graphicData uri="http://schemas.openxmlformats.org/drawingml/2006/picture">
                <pic:pic xmlns:pic="http://schemas.openxmlformats.org/drawingml/2006/picture">
                  <pic:nvPicPr>
                    <pic:cNvPr id="1041" name="Picture 18"/>
                    <pic:cNvPicPr>
                      <a:picLocks noChangeAspect="1" noChangeArrowheads="1"/>
                    </pic:cNvPicPr>
                  </pic:nvPicPr>
                  <pic:blipFill>
                    <a:blip r:embed="rId19"/>
                    <a:srcRect t="4913"/>
                    <a:stretch>
                      <a:fillRect/>
                    </a:stretch>
                  </pic:blipFill>
                  <pic:spPr>
                    <a:xfrm>
                      <a:off x="0" y="0"/>
                      <a:ext cx="6177280" cy="349758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1</w:t>
      </w:r>
      <w:r>
        <w:rPr>
          <w:rFonts w:hint="default" w:ascii="ＭＳ ゴシック" w:hAnsi="ＭＳ ゴシック" w:eastAsia="ＭＳ ゴシック"/>
          <w:sz w:val="21"/>
        </w:rPr>
        <w:t>7</w:t>
      </w:r>
      <w:r>
        <w:rPr>
          <w:rFonts w:hint="eastAsia" w:ascii="ＭＳ ゴシック" w:hAnsi="ＭＳ ゴシック" w:eastAsia="ＭＳ ゴシック"/>
          <w:sz w:val="21"/>
        </w:rPr>
        <w:t>：箕面市</w:t>
      </w:r>
      <w:r>
        <w:rPr>
          <w:rFonts w:hint="default" w:ascii="ＭＳ ゴシック" w:hAnsi="ＭＳ ゴシック" w:eastAsia="ＭＳ ゴシック"/>
          <w:sz w:val="21"/>
        </w:rPr>
        <w:t>65</w:t>
      </w:r>
      <w:r>
        <w:rPr>
          <w:rFonts w:hint="default" w:ascii="ＭＳ ゴシック" w:hAnsi="ＭＳ ゴシック" w:eastAsia="ＭＳ ゴシック"/>
          <w:sz w:val="21"/>
        </w:rPr>
        <w:t>歳以上の高齢者のみの世帯数の推移</w:t>
      </w:r>
    </w:p>
    <w:p>
      <w:pPr>
        <w:pStyle w:val="0"/>
        <w:jc w:val="center"/>
        <w:rPr>
          <w:rFonts w:hint="default"/>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ind w:firstLine="200" w:firstLineChars="100"/>
        <w:rPr>
          <w:rFonts w:hint="default"/>
          <w:sz w:val="20"/>
        </w:rPr>
      </w:pPr>
      <w:r>
        <w:rPr>
          <w:rFonts w:hint="eastAsia"/>
          <w:sz w:val="20"/>
        </w:rPr>
        <w:t>※各年度３月末</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ascii="メイリオ" w:hAnsi="メイリオ" w:eastAsia="メイリオ"/>
          <w:sz w:val="28"/>
        </w:rPr>
        <w:sectPr>
          <w:pgSz w:w="11906" w:h="16838"/>
          <w:pgMar w:top="1440" w:right="1080" w:bottom="1440" w:left="1080" w:header="851" w:footer="454" w:gutter="0"/>
          <w:cols w:space="720"/>
          <w:textDirection w:val="lrTb"/>
          <w:docGrid w:type="lines" w:linePitch="360"/>
        </w:sectPr>
      </w:pPr>
    </w:p>
    <w:p>
      <w:pPr>
        <w:pStyle w:val="4"/>
        <w:ind w:left="0" w:leftChars="0"/>
        <w:rPr>
          <w:rFonts w:hint="default" w:ascii="メイリオ" w:hAnsi="メイリオ" w:eastAsia="メイリオ"/>
          <w:b w:val="0"/>
          <w:sz w:val="28"/>
        </w:rPr>
      </w:pPr>
      <w:bookmarkStart w:id="9" w:name="_Toc59007762"/>
      <w:r>
        <w:rPr>
          <w:rFonts w:hint="eastAsia" w:ascii="メイリオ" w:hAnsi="メイリオ" w:eastAsia="メイリオ"/>
          <w:b w:val="0"/>
          <w:sz w:val="28"/>
        </w:rPr>
        <w:t>（６）日常生活圏域の状況</w:t>
      </w:r>
      <w:bookmarkEnd w:id="9"/>
    </w:p>
    <w:p>
      <w:pPr>
        <w:pStyle w:val="0"/>
        <w:ind w:firstLine="240" w:firstLineChars="100"/>
        <w:jc w:val="both"/>
        <w:rPr>
          <w:rFonts w:hint="default"/>
        </w:rPr>
      </w:pPr>
      <w:r>
        <w:rPr>
          <w:rFonts w:hint="eastAsia"/>
        </w:rPr>
        <w:t>本市では、高齢者が住み慣れた地域で必要な支援を受けながら生活できるよう、第３期計画以降、身近な生活圏域に様々なサービス拠点が連携するよう市内に５つの「日常生活圏域」を設定し、国の示す地域包括ケアシステムの構築に向けた取組や事業を進めてきました。</w:t>
      </w:r>
    </w:p>
    <w:p>
      <w:pPr>
        <w:pStyle w:val="0"/>
        <w:ind w:firstLine="240" w:firstLineChars="100"/>
        <w:jc w:val="both"/>
        <w:rPr>
          <w:rFonts w:hint="default"/>
        </w:rPr>
      </w:pPr>
      <w:r>
        <w:rPr>
          <w:rFonts w:hint="eastAsia"/>
        </w:rPr>
        <w:t>第６期計画までは、この５つの日常生活圏域をふまえて、地域包括ケアシステムの構築に向けた取組や事業を展開してきました。しかし、第６期計画策定以降、各圏域の高齢者人口が１圏域あたり最大で国が示す標準的な高齢者人口（約</w:t>
      </w:r>
      <w:r>
        <w:rPr>
          <w:rFonts w:hint="default"/>
        </w:rPr>
        <w:t>6,000</w:t>
      </w:r>
      <w:r>
        <w:rPr>
          <w:rFonts w:hint="default"/>
        </w:rPr>
        <w:t>人）の</w:t>
      </w:r>
      <w:r>
        <w:rPr>
          <w:rFonts w:hint="default"/>
        </w:rPr>
        <w:t>1.5</w:t>
      </w:r>
      <w:r>
        <w:rPr>
          <w:rFonts w:hint="default"/>
        </w:rPr>
        <w:t>倍程度まで増加</w:t>
      </w:r>
    </w:p>
    <w:p>
      <w:pPr>
        <w:pStyle w:val="0"/>
        <w:jc w:val="both"/>
        <w:rPr>
          <w:rFonts w:hint="default"/>
        </w:rPr>
      </w:pPr>
      <w:r>
        <w:rPr>
          <w:rFonts w:hint="default"/>
        </w:rPr>
        <w:t>し、４か所の地域包括支援センター</w:t>
      </w:r>
      <w:r>
        <w:rPr>
          <w:rFonts w:hint="eastAsia"/>
        </w:rPr>
        <w:t>（高齢者くらしサポート）</w:t>
      </w:r>
      <w:r>
        <w:rPr>
          <w:rFonts w:hint="default"/>
        </w:rPr>
        <w:t>による支援が困難になってきました。</w:t>
      </w:r>
    </w:p>
    <w:p>
      <w:pPr>
        <w:pStyle w:val="0"/>
        <w:autoSpaceDE w:val="0"/>
        <w:autoSpaceDN w:val="0"/>
        <w:adjustRightInd w:val="0"/>
        <w:ind w:firstLine="240" w:firstLineChars="100"/>
        <w:jc w:val="both"/>
        <w:rPr>
          <w:rFonts w:hint="default"/>
          <w:color w:val="000000" w:themeColor="text1"/>
        </w:rPr>
      </w:pPr>
      <w:r>
        <w:rPr>
          <w:rFonts w:hint="eastAsia"/>
        </w:rPr>
        <w:t>そこで、令和７</w:t>
      </w:r>
      <w:r>
        <w:rPr>
          <w:rFonts w:hint="default"/>
        </w:rPr>
        <w:t>年</w:t>
      </w:r>
      <w:r>
        <w:rPr>
          <w:rFonts w:hint="default"/>
        </w:rPr>
        <w:t>(2025</w:t>
      </w:r>
      <w:r>
        <w:rPr>
          <w:rFonts w:hint="default"/>
        </w:rPr>
        <w:t>年</w:t>
      </w:r>
      <w:r>
        <w:rPr>
          <w:rFonts w:hint="default"/>
        </w:rPr>
        <w:t>)</w:t>
      </w:r>
      <w:r>
        <w:rPr>
          <w:rFonts w:hint="default"/>
        </w:rPr>
        <w:t>以降の超高齢化を見据え、</w:t>
      </w:r>
      <w:r>
        <w:rPr>
          <w:rFonts w:hint="eastAsia"/>
        </w:rPr>
        <w:t>第７期計画から、</w:t>
      </w:r>
      <w:r>
        <w:rPr>
          <w:rFonts w:hint="default"/>
        </w:rPr>
        <w:t>14</w:t>
      </w:r>
      <w:r>
        <w:rPr>
          <w:rFonts w:hint="default"/>
        </w:rPr>
        <w:t>の小学校区を日常生活圏域</w:t>
      </w:r>
      <w:r>
        <w:rPr>
          <w:rFonts w:hint="eastAsia"/>
        </w:rPr>
        <w:t>と設定し、</w:t>
      </w:r>
      <w:r>
        <w:rPr>
          <w:rFonts w:hint="eastAsia"/>
          <w:color w:val="000000" w:themeColor="text1"/>
        </w:rPr>
        <w:t>地域包括ケアシステムの中核となる機関として、５か所の「地域包括支援センター（高齢者くらしサポート）」を設置しました。</w:t>
      </w:r>
    </w:p>
    <w:p>
      <w:pPr>
        <w:pStyle w:val="0"/>
        <w:spacing w:line="240" w:lineRule="exact"/>
        <w:rPr>
          <w:rFonts w:hint="default"/>
        </w:rPr>
      </w:pPr>
    </w:p>
    <w:p>
      <w:pPr>
        <w:pStyle w:val="0"/>
        <w:ind w:firstLine="210"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w:t>
      </w:r>
      <w:r>
        <w:rPr>
          <w:rFonts w:hint="default" w:ascii="ＭＳ ゴシック" w:hAnsi="ＭＳ ゴシック" w:eastAsia="ＭＳ ゴシック"/>
          <w:sz w:val="21"/>
        </w:rPr>
        <w:t>8</w:t>
      </w:r>
      <w:r>
        <w:rPr>
          <w:rFonts w:hint="eastAsia" w:ascii="ＭＳ ゴシック" w:hAnsi="ＭＳ ゴシック" w:eastAsia="ＭＳ ゴシック"/>
          <w:sz w:val="21"/>
        </w:rPr>
        <w:t>：日常生活圏域の状況</w:t>
      </w:r>
    </w:p>
    <w:tbl>
      <w:tblPr>
        <w:tblStyle w:val="61"/>
        <w:tblW w:w="9846" w:type="dxa"/>
        <w:tblInd w:w="0" w:type="dxa"/>
        <w:tblLayout w:type="fixed"/>
        <w:tblLook w:firstRow="1" w:lastRow="0" w:firstColumn="1" w:lastColumn="0" w:noHBand="0" w:noVBand="1" w:val="04A0"/>
      </w:tblPr>
      <w:tblGrid>
        <w:gridCol w:w="421"/>
        <w:gridCol w:w="1842"/>
        <w:gridCol w:w="842"/>
        <w:gridCol w:w="843"/>
        <w:gridCol w:w="842"/>
        <w:gridCol w:w="843"/>
        <w:gridCol w:w="842"/>
        <w:gridCol w:w="843"/>
        <w:gridCol w:w="842"/>
        <w:gridCol w:w="843"/>
        <w:gridCol w:w="843"/>
      </w:tblGrid>
      <w:tr>
        <w:trPr>
          <w:cantSplit/>
          <w:trHeight w:val="1794" w:hRule="atLeast"/>
        </w:trPr>
        <w:tc>
          <w:tcPr>
            <w:tcW w:w="2263" w:type="dxa"/>
            <w:gridSpan w:val="2"/>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日常生活圏域</w:t>
            </w:r>
          </w:p>
        </w:tc>
        <w:tc>
          <w:tcPr>
            <w:tcW w:w="842"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総人口</w:t>
            </w:r>
          </w:p>
        </w:tc>
        <w:tc>
          <w:tcPr>
            <w:tcW w:w="843"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高齢者人口</w:t>
            </w:r>
          </w:p>
        </w:tc>
        <w:tc>
          <w:tcPr>
            <w:tcW w:w="842"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高齢化率</w:t>
            </w:r>
          </w:p>
        </w:tc>
        <w:tc>
          <w:tcPr>
            <w:tcW w:w="843"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後期高齢者人口</w:t>
            </w:r>
          </w:p>
        </w:tc>
        <w:tc>
          <w:tcPr>
            <w:tcW w:w="842"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後期高齢化率</w:t>
            </w:r>
          </w:p>
        </w:tc>
        <w:tc>
          <w:tcPr>
            <w:tcW w:w="843" w:type="dxa"/>
            <w:shd w:val="clear" w:color="auto" w:themeFill="accent5" w:themeFillTint="66" w:themeFillShade="FF"/>
            <w:textDirection w:val="tbRlV"/>
            <w:vAlign w:val="center"/>
          </w:tcPr>
          <w:p>
            <w:pPr>
              <w:pStyle w:val="0"/>
              <w:spacing w:line="240" w:lineRule="exact"/>
              <w:ind w:left="113" w:right="113"/>
              <w:jc w:val="both"/>
              <w:rPr>
                <w:rFonts w:hint="default" w:ascii="ＭＳ ゴシック" w:hAnsi="ＭＳ ゴシック" w:eastAsia="ＭＳ ゴシック"/>
              </w:rPr>
            </w:pPr>
            <w:r>
              <w:rPr>
                <w:rFonts w:hint="eastAsia" w:ascii="ＭＳ ゴシック" w:hAnsi="ＭＳ ゴシック" w:eastAsia="ＭＳ ゴシック"/>
              </w:rPr>
              <w:t>要介護等認定者数</w:t>
            </w:r>
          </w:p>
        </w:tc>
        <w:tc>
          <w:tcPr>
            <w:tcW w:w="842"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認定率</w:t>
            </w:r>
          </w:p>
        </w:tc>
        <w:tc>
          <w:tcPr>
            <w:tcW w:w="843" w:type="dxa"/>
            <w:shd w:val="clear" w:color="auto" w:themeFill="accent5" w:themeFillTint="66" w:themeFillShade="FF"/>
            <w:textDirection w:val="tbRlV"/>
            <w:vAlign w:val="center"/>
          </w:tcPr>
          <w:p>
            <w:pPr>
              <w:pStyle w:val="0"/>
              <w:spacing w:line="280" w:lineRule="exact"/>
              <w:ind w:left="113" w:right="113"/>
              <w:jc w:val="both"/>
              <w:rPr>
                <w:rFonts w:hint="default" w:ascii="ＭＳ ゴシック" w:hAnsi="ＭＳ ゴシック" w:eastAsia="ＭＳ ゴシック"/>
              </w:rPr>
            </w:pPr>
            <w:r>
              <w:rPr>
                <w:rFonts w:hint="eastAsia" w:ascii="ＭＳ ゴシック" w:hAnsi="ＭＳ ゴシック" w:eastAsia="ＭＳ ゴシック"/>
              </w:rPr>
              <w:t>認知症自立度Ⅱ以上認定者数</w:t>
            </w:r>
          </w:p>
        </w:tc>
        <w:tc>
          <w:tcPr>
            <w:tcW w:w="843" w:type="dxa"/>
            <w:shd w:val="clear" w:color="auto" w:themeFill="accent5" w:themeFillTint="66" w:themeFillShade="FF"/>
            <w:textDirection w:val="tbRlV"/>
            <w:vAlign w:val="center"/>
          </w:tcPr>
          <w:p>
            <w:pPr>
              <w:pStyle w:val="0"/>
              <w:spacing w:line="200" w:lineRule="exact"/>
              <w:ind w:left="113" w:right="113"/>
              <w:jc w:val="both"/>
              <w:rPr>
                <w:rFonts w:hint="default" w:ascii="ＭＳ ゴシック" w:hAnsi="ＭＳ ゴシック" w:eastAsia="ＭＳ ゴシック"/>
              </w:rPr>
            </w:pPr>
            <w:r>
              <w:rPr>
                <w:rFonts w:hint="eastAsia" w:ascii="ＭＳ ゴシック" w:hAnsi="ＭＳ ゴシック" w:eastAsia="ＭＳ ゴシック"/>
              </w:rPr>
              <w:t>高齢者に占める認知症自立度Ⅱ以上の割合</w:t>
            </w:r>
          </w:p>
        </w:tc>
      </w:tr>
      <w:tr>
        <w:trPr>
          <w:trHeight w:val="60" w:hRule="atLeast"/>
        </w:trPr>
        <w:tc>
          <w:tcPr>
            <w:tcW w:w="2263" w:type="dxa"/>
            <w:gridSpan w:val="2"/>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Ａ</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Ｂ</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Ｂ</w:t>
            </w:r>
            <w:r>
              <w:rPr>
                <w:rFonts w:hint="eastAsia" w:ascii="ＭＳ ゴシック" w:hAnsi="ＭＳ ゴシック" w:eastAsia="ＭＳ ゴシック"/>
              </w:rPr>
              <w:t>/</w:t>
            </w:r>
            <w:r>
              <w:rPr>
                <w:rFonts w:hint="eastAsia" w:ascii="ＭＳ ゴシック" w:hAnsi="ＭＳ ゴシック" w:eastAsia="ＭＳ ゴシック"/>
              </w:rPr>
              <w:t>Ａ</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Ｃ</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Ｃ</w:t>
            </w:r>
            <w:r>
              <w:rPr>
                <w:rFonts w:hint="eastAsia" w:ascii="ＭＳ ゴシック" w:hAnsi="ＭＳ ゴシック" w:eastAsia="ＭＳ ゴシック"/>
              </w:rPr>
              <w:t>/</w:t>
            </w:r>
            <w:r>
              <w:rPr>
                <w:rFonts w:hint="eastAsia" w:ascii="ＭＳ ゴシック" w:hAnsi="ＭＳ ゴシック" w:eastAsia="ＭＳ ゴシック"/>
              </w:rPr>
              <w:t>Ａ</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Ｄ</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Ｄ</w:t>
            </w:r>
            <w:r>
              <w:rPr>
                <w:rFonts w:hint="eastAsia" w:ascii="ＭＳ ゴシック" w:hAnsi="ＭＳ ゴシック" w:eastAsia="ＭＳ ゴシック"/>
              </w:rPr>
              <w:t>/</w:t>
            </w:r>
            <w:r>
              <w:rPr>
                <w:rFonts w:hint="eastAsia" w:ascii="ＭＳ ゴシック" w:hAnsi="ＭＳ ゴシック" w:eastAsia="ＭＳ ゴシック"/>
              </w:rPr>
              <w:t>Ｂ</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Ｅ</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Ｅ</w:t>
            </w:r>
            <w:r>
              <w:rPr>
                <w:rFonts w:hint="eastAsia" w:ascii="ＭＳ ゴシック" w:hAnsi="ＭＳ ゴシック" w:eastAsia="ＭＳ ゴシック"/>
              </w:rPr>
              <w:t>/</w:t>
            </w:r>
            <w:r>
              <w:rPr>
                <w:rFonts w:hint="eastAsia" w:ascii="ＭＳ ゴシック" w:hAnsi="ＭＳ ゴシック" w:eastAsia="ＭＳ ゴシック"/>
              </w:rPr>
              <w:t>Ｂ</w:t>
            </w:r>
          </w:p>
        </w:tc>
      </w:tr>
      <w:tr>
        <w:trPr>
          <w:trHeight w:val="60" w:hRule="atLeast"/>
        </w:trPr>
        <w:tc>
          <w:tcPr>
            <w:tcW w:w="2263"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人</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人</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ind w:left="-1" w:leftChars="-44" w:right="-182" w:rightChars="-76" w:hanging="105" w:hangingChars="5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人</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ind w:left="-1" w:leftChars="-44" w:right="-185" w:rightChars="-77" w:hanging="105" w:hangingChars="5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人</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ind w:left="2" w:leftChars="-43" w:right="-185" w:rightChars="-77" w:hanging="105" w:hangingChars="5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人</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240" w:lineRule="exact"/>
              <w:ind w:left="0" w:leftChars="-43" w:right="-175" w:rightChars="-73" w:hanging="103" w:hangingChars="49"/>
              <w:jc w:val="center"/>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2263"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西部</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23,899</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6,738</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28.2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3,642</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15.2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1,184</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17.6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851</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12.6 </w:t>
            </w:r>
          </w:p>
        </w:tc>
      </w:tr>
      <w:tr>
        <w:trPr/>
        <w:tc>
          <w:tcPr>
            <w:tcW w:w="42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箕面小学校</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10,170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2,888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28.4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1,518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14.9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475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16.4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331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11.5 </w:t>
            </w:r>
          </w:p>
        </w:tc>
      </w:tr>
      <w:tr>
        <w:trPr/>
        <w:tc>
          <w:tcPr>
            <w:tcW w:w="421" w:type="dxa"/>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西小学校</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13,729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3,850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28.0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2,124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15.5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709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18.4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520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13.5 </w:t>
            </w:r>
          </w:p>
        </w:tc>
      </w:tr>
      <w:tr>
        <w:trPr/>
        <w:tc>
          <w:tcPr>
            <w:tcW w:w="2263"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北部・西南</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27,788</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6,899</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24.8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3,567</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12.8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1,139</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16.5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795</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11.5 </w:t>
            </w:r>
          </w:p>
        </w:tc>
      </w:tr>
      <w:tr>
        <w:trPr/>
        <w:tc>
          <w:tcPr>
            <w:tcW w:w="42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right="-48" w:rightChars="-20"/>
              <w:rPr>
                <w:rFonts w:hint="default" w:ascii="ＭＳ ゴシック" w:hAnsi="ＭＳ ゴシック" w:eastAsia="ＭＳ ゴシック"/>
              </w:rPr>
            </w:pP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止々呂美小学校</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4,833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348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7.2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154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3.2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53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15.2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42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12.1 </w:t>
            </w:r>
          </w:p>
        </w:tc>
      </w:tr>
      <w:tr>
        <w:trPr/>
        <w:tc>
          <w:tcPr>
            <w:tcW w:w="42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南小学校</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10,050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3,003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29.9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1,573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15.7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532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17.7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367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12.2 </w:t>
            </w:r>
          </w:p>
        </w:tc>
      </w:tr>
      <w:tr>
        <w:trPr/>
        <w:tc>
          <w:tcPr>
            <w:tcW w:w="421" w:type="dxa"/>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西南小学校</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12,905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3,548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27.5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1,840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14.3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554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15.6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386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10.9 </w:t>
            </w:r>
          </w:p>
        </w:tc>
      </w:tr>
      <w:tr>
        <w:trPr/>
        <w:tc>
          <w:tcPr>
            <w:tcW w:w="2263"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中西部</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28,150</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7,447</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26.5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3,974</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14.1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1,197</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16.1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836</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11.2 </w:t>
            </w:r>
          </w:p>
        </w:tc>
      </w:tr>
      <w:tr>
        <w:trPr/>
        <w:tc>
          <w:tcPr>
            <w:tcW w:w="42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rPr>
                <w:rFonts w:hint="default" w:ascii="ＭＳ ゴシック" w:hAnsi="ＭＳ ゴシック" w:eastAsia="ＭＳ ゴシック"/>
              </w:rPr>
            </w:pP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萱野小学校</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11,381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2,800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24.6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1,463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12.9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414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14.8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296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10.6 </w:t>
            </w:r>
          </w:p>
        </w:tc>
      </w:tr>
      <w:tr>
        <w:trPr/>
        <w:tc>
          <w:tcPr>
            <w:tcW w:w="42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北小学校</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6,062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1,948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32.1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1,080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17.8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344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17.7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228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11.7 </w:t>
            </w:r>
          </w:p>
        </w:tc>
      </w:tr>
      <w:tr>
        <w:trPr/>
        <w:tc>
          <w:tcPr>
            <w:tcW w:w="421" w:type="dxa"/>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中小学校</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10,707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2,699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25.2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1,431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13.4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439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16.3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312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11.6 </w:t>
            </w:r>
          </w:p>
        </w:tc>
      </w:tr>
      <w:tr>
        <w:trPr/>
        <w:tc>
          <w:tcPr>
            <w:tcW w:w="2263"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中東部</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32,658</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7,339</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22.5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3,568</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10.9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1,026</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14.0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747</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10.2 </w:t>
            </w:r>
          </w:p>
        </w:tc>
      </w:tr>
      <w:tr>
        <w:trPr/>
        <w:tc>
          <w:tcPr>
            <w:tcW w:w="42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萱野北小学校</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5,447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1,707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31.3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840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15.4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217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12.7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148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8.7 </w:t>
            </w:r>
          </w:p>
        </w:tc>
      </w:tr>
      <w:tr>
        <w:trPr/>
        <w:tc>
          <w:tcPr>
            <w:tcW w:w="42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萱野東小学校</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13,420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3,194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23.8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1,590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11.8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477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14.9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359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11.2 </w:t>
            </w:r>
          </w:p>
        </w:tc>
      </w:tr>
      <w:tr>
        <w:trPr/>
        <w:tc>
          <w:tcPr>
            <w:tcW w:w="421" w:type="dxa"/>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豊川南小学校</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13,791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2,438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17.7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1,138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8.3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332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13.6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240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9.8 </w:t>
            </w:r>
          </w:p>
        </w:tc>
      </w:tr>
      <w:tr>
        <w:trPr/>
        <w:tc>
          <w:tcPr>
            <w:tcW w:w="2263" w:type="dxa"/>
            <w:gridSpan w:val="2"/>
            <w:tcBorders>
              <w:top w:val="double" w:color="auto" w:sz="4" w:space="0"/>
              <w:left w:val="none" w:color="auto" w:sz="0" w:space="0"/>
              <w:bottom w:val="nil"/>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東部</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25,878</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6,427</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24.8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3,317</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12.8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830</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12.9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568</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8.8 </w:t>
            </w:r>
          </w:p>
        </w:tc>
      </w:tr>
      <w:tr>
        <w:trPr/>
        <w:tc>
          <w:tcPr>
            <w:tcW w:w="42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東小学校</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10,567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3,519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33.3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1,798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17.0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441 </w:t>
            </w:r>
          </w:p>
        </w:tc>
        <w:tc>
          <w:tcPr>
            <w:tcW w:w="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12.5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295 </w:t>
            </w:r>
          </w:p>
        </w:tc>
        <w:tc>
          <w:tcPr>
            <w:tcW w:w="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sz w:val="16"/>
              </w:rPr>
            </w:pPr>
            <w:r>
              <w:rPr>
                <w:rFonts w:hint="default" w:ascii="ＭＳ 明朝" w:hAnsi="ＭＳ 明朝" w:eastAsia="ＭＳ 明朝"/>
                <w:sz w:val="16"/>
              </w:rPr>
              <w:t xml:space="preserve">8.4 </w:t>
            </w:r>
          </w:p>
        </w:tc>
      </w:tr>
      <w:tr>
        <w:trPr/>
        <w:tc>
          <w:tcPr>
            <w:tcW w:w="42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rPr>
            </w:pP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豊川北小学校</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9,622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2,728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28.4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1,476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15.3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365 </w:t>
            </w:r>
          </w:p>
        </w:tc>
        <w:tc>
          <w:tcPr>
            <w:tcW w:w="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13.4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257 </w:t>
            </w:r>
          </w:p>
        </w:tc>
        <w:tc>
          <w:tcPr>
            <w:tcW w:w="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9.4 </w:t>
            </w:r>
          </w:p>
        </w:tc>
      </w:tr>
      <w:tr>
        <w:trPr/>
        <w:tc>
          <w:tcPr>
            <w:tcW w:w="421" w:type="dxa"/>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rPr>
            </w:pPr>
          </w:p>
        </w:tc>
        <w:tc>
          <w:tcPr>
            <w:tcW w:w="1842"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spacing w:line="300" w:lineRule="exact"/>
              <w:ind w:left="80"/>
              <w:rPr>
                <w:rFonts w:hint="default" w:ascii="ＭＳ ゴシック" w:hAnsi="ＭＳ ゴシック" w:eastAsia="ＭＳ ゴシック"/>
              </w:rPr>
            </w:pPr>
            <w:r>
              <w:rPr>
                <w:rFonts w:hint="eastAsia" w:ascii="ＭＳ ゴシック" w:hAnsi="ＭＳ ゴシック" w:eastAsia="ＭＳ ゴシック"/>
              </w:rPr>
              <w:t>彩都の丘小学校</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5,689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180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3.2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43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0.8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24 </w:t>
            </w:r>
          </w:p>
        </w:tc>
        <w:tc>
          <w:tcPr>
            <w:tcW w:w="842"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13.3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16 </w:t>
            </w:r>
          </w:p>
        </w:tc>
        <w:tc>
          <w:tcPr>
            <w:tcW w:w="843" w:type="dxa"/>
            <w:tcBorders>
              <w:top w:val="dotted"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8.9 </w:t>
            </w:r>
          </w:p>
        </w:tc>
      </w:tr>
      <w:tr>
        <w:trPr/>
        <w:tc>
          <w:tcPr>
            <w:tcW w:w="2263"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spacing w:line="300" w:lineRule="exact"/>
              <w:jc w:val="center"/>
              <w:rPr>
                <w:rFonts w:hint="default" w:ascii="ＭＳ ゴシック" w:hAnsi="ＭＳ ゴシック" w:eastAsia="ＭＳ ゴシック"/>
              </w:rPr>
            </w:pPr>
            <w:r>
              <w:rPr>
                <w:rFonts w:hint="eastAsia" w:ascii="ＭＳ ゴシック" w:hAnsi="ＭＳ ゴシック" w:eastAsia="ＭＳ ゴシック"/>
              </w:rPr>
              <w:t>全市</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138,373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34,850 </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25.2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18,068 </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13.1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5,376 </w:t>
            </w:r>
          </w:p>
        </w:tc>
        <w:tc>
          <w:tcPr>
            <w:tcW w:w="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15.4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3,797 </w:t>
            </w:r>
          </w:p>
        </w:tc>
        <w:tc>
          <w:tcPr>
            <w:tcW w:w="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ascii="ＭＳ 明朝" w:hAnsi="ＭＳ 明朝" w:eastAsia="ＭＳ 明朝"/>
                <w:sz w:val="16"/>
              </w:rPr>
            </w:pPr>
            <w:r>
              <w:rPr>
                <w:rFonts w:hint="default" w:ascii="ＭＳ 明朝" w:hAnsi="ＭＳ 明朝" w:eastAsia="ＭＳ 明朝"/>
                <w:sz w:val="16"/>
              </w:rPr>
              <w:t xml:space="preserve">10.9 </w:t>
            </w:r>
          </w:p>
        </w:tc>
      </w:tr>
    </w:tbl>
    <w:p>
      <w:pPr>
        <w:pStyle w:val="0"/>
        <w:ind w:firstLine="200" w:firstLineChars="100"/>
        <w:rPr>
          <w:rFonts w:hint="default"/>
          <w:sz w:val="20"/>
        </w:rPr>
      </w:pPr>
      <w:r>
        <w:rPr>
          <w:rFonts w:hint="eastAsia"/>
          <w:sz w:val="20"/>
        </w:rPr>
        <w:t>※令和２</w:t>
      </w:r>
      <w:r>
        <w:rPr>
          <w:rFonts w:hint="default"/>
          <w:sz w:val="20"/>
        </w:rPr>
        <w:t>年</w:t>
      </w:r>
      <w:r>
        <w:rPr>
          <w:rFonts w:hint="eastAsia"/>
          <w:sz w:val="20"/>
        </w:rPr>
        <w:t>(2020</w:t>
      </w:r>
      <w:r>
        <w:rPr>
          <w:rFonts w:hint="eastAsia"/>
          <w:sz w:val="20"/>
        </w:rPr>
        <w:t>年</w:t>
      </w:r>
      <w:r>
        <w:rPr>
          <w:rFonts w:hint="eastAsia"/>
          <w:sz w:val="20"/>
        </w:rPr>
        <w:t>)</w:t>
      </w:r>
      <w:r>
        <w:rPr>
          <w:rFonts w:hint="eastAsia"/>
          <w:sz w:val="20"/>
        </w:rPr>
        <w:t>４</w:t>
      </w:r>
      <w:r>
        <w:rPr>
          <w:rFonts w:hint="default"/>
          <w:sz w:val="20"/>
        </w:rPr>
        <w:t>月</w:t>
      </w:r>
      <w:r>
        <w:rPr>
          <w:rFonts w:hint="eastAsia"/>
          <w:sz w:val="20"/>
        </w:rPr>
        <w:t>１</w:t>
      </w:r>
      <w:r>
        <w:rPr>
          <w:rFonts w:hint="default"/>
          <w:sz w:val="20"/>
        </w:rPr>
        <w:t>日</w:t>
      </w:r>
    </w:p>
    <w:p>
      <w:pPr>
        <w:rPr>
          <w:rFonts w:hint="default"/>
        </w:rPr>
        <w:sectPr>
          <w:pgSz w:w="11906" w:h="16838"/>
          <w:pgMar w:top="1440" w:right="1077" w:bottom="907" w:left="1077" w:header="851" w:footer="454" w:gutter="0"/>
          <w:cols w:space="720"/>
          <w:textDirection w:val="lrTb"/>
          <w:docGrid w:type="lines" w:linePitch="360"/>
        </w:sect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19</w:t>
      </w:r>
      <w:r>
        <w:rPr>
          <w:rFonts w:hint="eastAsia" w:ascii="ＭＳ ゴシック" w:hAnsi="ＭＳ ゴシック" w:eastAsia="ＭＳ ゴシック"/>
          <w:sz w:val="21"/>
        </w:rPr>
        <w:t>：地域包括支援センターの名称と担当区域</w:t>
      </w:r>
    </w:p>
    <w:tbl>
      <w:tblPr>
        <w:tblStyle w:val="61"/>
        <w:tblW w:w="9776" w:type="dxa"/>
        <w:tblInd w:w="0" w:type="dxa"/>
        <w:tblLayout w:type="fixed"/>
        <w:tblLook w:firstRow="1" w:lastRow="0" w:firstColumn="1" w:lastColumn="0" w:noHBand="0" w:noVBand="1" w:val="04A0"/>
      </w:tblPr>
      <w:tblGrid>
        <w:gridCol w:w="4188"/>
        <w:gridCol w:w="5588"/>
      </w:tblGrid>
      <w:tr>
        <w:trPr>
          <w:trHeight w:val="336" w:hRule="atLeast"/>
        </w:trPr>
        <w:tc>
          <w:tcPr>
            <w:tcW w:w="4188" w:type="dxa"/>
            <w:shd w:val="clear" w:color="auto" w:themeFill="accent5" w:themeFillTint="66" w:themeFillShade="FF"/>
            <w:vAlign w:val="center"/>
          </w:tcPr>
          <w:p>
            <w:pPr>
              <w:pStyle w:val="0"/>
              <w:ind w:left="811" w:hanging="811"/>
              <w:jc w:val="center"/>
              <w:rPr>
                <w:rFonts w:hint="default" w:ascii="ＭＳ ゴシック" w:hAnsi="ＭＳ ゴシック" w:eastAsia="ＭＳ ゴシック"/>
              </w:rPr>
            </w:pPr>
            <w:r>
              <w:rPr>
                <w:rFonts w:hint="eastAsia" w:ascii="ＭＳ ゴシック" w:hAnsi="ＭＳ ゴシック" w:eastAsia="ＭＳ ゴシック"/>
              </w:rPr>
              <w:t>地域包括支援センター名</w:t>
            </w:r>
          </w:p>
        </w:tc>
        <w:tc>
          <w:tcPr>
            <w:tcW w:w="5588" w:type="dxa"/>
            <w:shd w:val="clear" w:color="auto" w:themeFill="accent5" w:themeFillTint="66" w:themeFillShade="FF"/>
            <w:vAlign w:val="center"/>
          </w:tcPr>
          <w:p>
            <w:pPr>
              <w:pStyle w:val="0"/>
              <w:ind w:left="811" w:hanging="811"/>
              <w:jc w:val="center"/>
              <w:rPr>
                <w:rFonts w:hint="default" w:ascii="ＭＳ ゴシック" w:hAnsi="ＭＳ ゴシック" w:eastAsia="ＭＳ ゴシック"/>
              </w:rPr>
            </w:pPr>
            <w:r>
              <w:rPr>
                <w:rFonts w:hint="eastAsia" w:ascii="ＭＳ ゴシック" w:hAnsi="ＭＳ ゴシック" w:eastAsia="ＭＳ ゴシック"/>
              </w:rPr>
              <w:t>担当区域（校区名）</w:t>
            </w:r>
          </w:p>
        </w:tc>
      </w:tr>
      <w:tr>
        <w:trPr/>
        <w:tc>
          <w:tcPr>
            <w:tcW w:w="4188" w:type="dxa"/>
            <w:shd w:val="clear" w:color="auto" w:fill="BDD6EE"/>
            <w:vAlign w:val="center"/>
          </w:tcPr>
          <w:p>
            <w:pPr>
              <w:pStyle w:val="0"/>
              <w:ind w:left="811" w:hanging="811"/>
              <w:jc w:val="both"/>
              <w:rPr>
                <w:rFonts w:hint="default" w:ascii="ＭＳ ゴシック" w:hAnsi="ＭＳ ゴシック" w:eastAsia="ＭＳ ゴシック"/>
              </w:rPr>
            </w:pPr>
            <w:r>
              <w:rPr>
                <w:rFonts w:hint="eastAsia" w:ascii="ＭＳ ゴシック" w:hAnsi="ＭＳ ゴシック" w:eastAsia="ＭＳ ゴシック"/>
              </w:rPr>
              <w:t>箕面市西部地域包括支援センター</w:t>
            </w:r>
          </w:p>
        </w:tc>
        <w:tc>
          <w:tcPr>
            <w:tcW w:w="5588" w:type="dxa"/>
            <w:vAlign w:val="center"/>
          </w:tcPr>
          <w:p>
            <w:pPr>
              <w:pStyle w:val="0"/>
              <w:ind w:left="811" w:hanging="811"/>
              <w:jc w:val="both"/>
              <w:rPr>
                <w:rFonts w:hint="default" w:ascii="ＭＳ 明朝" w:hAnsi="ＭＳ 明朝" w:eastAsia="ＭＳ 明朝"/>
              </w:rPr>
            </w:pPr>
            <w:r>
              <w:rPr>
                <w:rFonts w:hint="eastAsia" w:ascii="ＭＳ 明朝" w:hAnsi="ＭＳ 明朝" w:eastAsia="ＭＳ 明朝"/>
              </w:rPr>
              <w:t>箕面小学校、西小学校</w:t>
            </w:r>
          </w:p>
        </w:tc>
      </w:tr>
      <w:tr>
        <w:trPr/>
        <w:tc>
          <w:tcPr>
            <w:tcW w:w="4188" w:type="dxa"/>
            <w:shd w:val="clear" w:color="auto" w:fill="BDD6EE"/>
            <w:vAlign w:val="center"/>
          </w:tcPr>
          <w:p>
            <w:pPr>
              <w:pStyle w:val="0"/>
              <w:ind w:left="811" w:hanging="811"/>
              <w:jc w:val="both"/>
              <w:rPr>
                <w:rFonts w:hint="default" w:ascii="ＭＳ ゴシック" w:hAnsi="ＭＳ ゴシック" w:eastAsia="ＭＳ ゴシック"/>
              </w:rPr>
            </w:pPr>
            <w:r>
              <w:rPr>
                <w:rFonts w:hint="eastAsia" w:ascii="ＭＳ ゴシック" w:hAnsi="ＭＳ ゴシック" w:eastAsia="ＭＳ ゴシック"/>
              </w:rPr>
              <w:t>箕面市北部・西南地域包括支援センター</w:t>
            </w:r>
          </w:p>
        </w:tc>
        <w:tc>
          <w:tcPr>
            <w:tcW w:w="5588" w:type="dxa"/>
            <w:vAlign w:val="center"/>
          </w:tcPr>
          <w:p>
            <w:pPr>
              <w:pStyle w:val="0"/>
              <w:ind w:left="811" w:hanging="811"/>
              <w:jc w:val="both"/>
              <w:rPr>
                <w:rFonts w:hint="default" w:ascii="ＭＳ 明朝" w:hAnsi="ＭＳ 明朝" w:eastAsia="ＭＳ 明朝"/>
              </w:rPr>
            </w:pPr>
            <w:r>
              <w:rPr>
                <w:rFonts w:hint="eastAsia" w:ascii="ＭＳ 明朝" w:hAnsi="ＭＳ 明朝" w:eastAsia="ＭＳ 明朝"/>
              </w:rPr>
              <w:t>止々呂美小学校、南小学校、西南小学校</w:t>
            </w:r>
          </w:p>
        </w:tc>
      </w:tr>
      <w:tr>
        <w:trPr/>
        <w:tc>
          <w:tcPr>
            <w:tcW w:w="4188" w:type="dxa"/>
            <w:shd w:val="clear" w:color="auto" w:fill="BDD6EE"/>
            <w:vAlign w:val="center"/>
          </w:tcPr>
          <w:p>
            <w:pPr>
              <w:pStyle w:val="0"/>
              <w:ind w:left="811" w:hanging="811"/>
              <w:jc w:val="both"/>
              <w:rPr>
                <w:rFonts w:hint="default" w:ascii="ＭＳ ゴシック" w:hAnsi="ＭＳ ゴシック" w:eastAsia="ＭＳ ゴシック"/>
              </w:rPr>
            </w:pPr>
            <w:r>
              <w:rPr>
                <w:rFonts w:hint="eastAsia" w:ascii="ＭＳ ゴシック" w:hAnsi="ＭＳ ゴシック" w:eastAsia="ＭＳ ゴシック"/>
              </w:rPr>
              <w:t>箕面市中西部地域包括支援センター</w:t>
            </w:r>
          </w:p>
        </w:tc>
        <w:tc>
          <w:tcPr>
            <w:tcW w:w="5588" w:type="dxa"/>
            <w:vAlign w:val="center"/>
          </w:tcPr>
          <w:p>
            <w:pPr>
              <w:pStyle w:val="0"/>
              <w:ind w:left="811" w:hanging="811"/>
              <w:jc w:val="both"/>
              <w:rPr>
                <w:rFonts w:hint="default"/>
              </w:rPr>
            </w:pPr>
            <w:r>
              <w:rPr>
                <w:rFonts w:hint="eastAsia" w:ascii="ＭＳ 明朝" w:hAnsi="ＭＳ 明朝" w:eastAsia="ＭＳ 明朝"/>
              </w:rPr>
              <w:t>萱野小学校、北小学校、中小学校</w:t>
            </w:r>
          </w:p>
        </w:tc>
      </w:tr>
      <w:tr>
        <w:trPr/>
        <w:tc>
          <w:tcPr>
            <w:tcW w:w="4188" w:type="dxa"/>
            <w:shd w:val="clear" w:color="auto" w:fill="BDD6EE"/>
            <w:vAlign w:val="center"/>
          </w:tcPr>
          <w:p>
            <w:pPr>
              <w:pStyle w:val="0"/>
              <w:ind w:left="811" w:hanging="811"/>
              <w:jc w:val="both"/>
              <w:rPr>
                <w:rFonts w:hint="default" w:ascii="ＭＳ ゴシック" w:hAnsi="ＭＳ ゴシック" w:eastAsia="ＭＳ ゴシック"/>
              </w:rPr>
            </w:pPr>
            <w:r>
              <w:rPr>
                <w:rFonts w:hint="eastAsia" w:ascii="ＭＳ ゴシック" w:hAnsi="ＭＳ ゴシック" w:eastAsia="ＭＳ ゴシック"/>
              </w:rPr>
              <w:t>箕面市中東部地域包括支援センター</w:t>
            </w:r>
          </w:p>
        </w:tc>
        <w:tc>
          <w:tcPr>
            <w:tcW w:w="5588" w:type="dxa"/>
            <w:vAlign w:val="center"/>
          </w:tcPr>
          <w:p>
            <w:pPr>
              <w:pStyle w:val="0"/>
              <w:ind w:left="811" w:hanging="811"/>
              <w:jc w:val="both"/>
              <w:rPr>
                <w:rFonts w:hint="default" w:ascii="ＭＳ 明朝" w:hAnsi="ＭＳ 明朝" w:eastAsia="ＭＳ 明朝"/>
              </w:rPr>
            </w:pPr>
            <w:r>
              <w:rPr>
                <w:rFonts w:hint="eastAsia" w:ascii="ＭＳ 明朝" w:hAnsi="ＭＳ 明朝" w:eastAsia="ＭＳ 明朝"/>
              </w:rPr>
              <w:t>萱野北小学校、萱野東小学校、豊川南小学校</w:t>
            </w:r>
          </w:p>
        </w:tc>
      </w:tr>
      <w:tr>
        <w:trPr/>
        <w:tc>
          <w:tcPr>
            <w:tcW w:w="4188" w:type="dxa"/>
            <w:shd w:val="clear" w:color="auto" w:fill="BDD6EE"/>
            <w:vAlign w:val="center"/>
          </w:tcPr>
          <w:p>
            <w:pPr>
              <w:pStyle w:val="0"/>
              <w:ind w:left="811" w:hanging="811"/>
              <w:jc w:val="both"/>
              <w:rPr>
                <w:rFonts w:hint="default" w:ascii="ＭＳ ゴシック" w:hAnsi="ＭＳ ゴシック" w:eastAsia="ＭＳ ゴシック"/>
              </w:rPr>
            </w:pPr>
            <w:r>
              <w:rPr>
                <w:rFonts w:hint="eastAsia" w:ascii="ＭＳ ゴシック" w:hAnsi="ＭＳ ゴシック" w:eastAsia="ＭＳ ゴシック"/>
              </w:rPr>
              <w:t>箕面市東部地域包括支援センター</w:t>
            </w:r>
          </w:p>
        </w:tc>
        <w:tc>
          <w:tcPr>
            <w:tcW w:w="5588" w:type="dxa"/>
            <w:vAlign w:val="center"/>
          </w:tcPr>
          <w:p>
            <w:pPr>
              <w:pStyle w:val="0"/>
              <w:ind w:left="811" w:hanging="811"/>
              <w:jc w:val="both"/>
              <w:rPr>
                <w:rFonts w:hint="default" w:ascii="ＭＳ 明朝" w:hAnsi="ＭＳ 明朝" w:eastAsia="ＭＳ 明朝"/>
              </w:rPr>
            </w:pPr>
            <w:r>
              <w:rPr>
                <w:rFonts w:hint="eastAsia" w:ascii="ＭＳ 明朝" w:hAnsi="ＭＳ 明朝" w:eastAsia="ＭＳ 明朝"/>
              </w:rPr>
              <w:t>東小学校、豊川北小学校、彩都の丘小学校</w:t>
            </w:r>
          </w:p>
        </w:tc>
      </w:tr>
    </w:tbl>
    <w:p>
      <w:pPr>
        <w:pStyle w:val="0"/>
        <w:rPr>
          <w:rFonts w:hint="default"/>
          <w:color w:val="000000" w:themeColor="text1"/>
        </w:rPr>
      </w:pPr>
      <w:r>
        <w:rPr>
          <w:rFonts w:hint="default"/>
          <w:color w:val="000000" w:themeColor="text1"/>
        </w:rPr>
        <w:drawing>
          <wp:anchor distT="0" distB="0" distL="114300" distR="114300" simplePos="0" relativeHeight="3" behindDoc="0" locked="0" layoutInCell="1" hidden="0" allowOverlap="1">
            <wp:simplePos x="0" y="0"/>
            <wp:positionH relativeFrom="column">
              <wp:posOffset>581025</wp:posOffset>
            </wp:positionH>
            <wp:positionV relativeFrom="paragraph">
              <wp:posOffset>212725</wp:posOffset>
            </wp:positionV>
            <wp:extent cx="5067300" cy="7035800"/>
            <wp:effectExtent l="0" t="0" r="0" b="0"/>
            <wp:wrapNone/>
            <wp:docPr id="1042" name="5圏域色あり.bmp"/>
            <a:graphic xmlns:a="http://schemas.openxmlformats.org/drawingml/2006/main">
              <a:graphicData uri="http://schemas.openxmlformats.org/drawingml/2006/picture">
                <pic:pic xmlns:pic="http://schemas.openxmlformats.org/drawingml/2006/picture">
                  <pic:nvPicPr>
                    <pic:cNvPr id="1042" name="5圏域色あり.bmp"/>
                    <pic:cNvPicPr/>
                  </pic:nvPicPr>
                  <pic:blipFill>
                    <a:blip r:embed="rId20"/>
                    <a:stretch>
                      <a:fillRect/>
                    </a:stretch>
                  </pic:blipFill>
                  <pic:spPr>
                    <a:xfrm>
                      <a:off x="0" y="0"/>
                      <a:ext cx="5067300" cy="7035800"/>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hd w:val="pct15" w:color="auto" w:fill="FFFFFF"/>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10" w:name="_Toc405397072"/>
      <w:bookmarkEnd w:id="10"/>
      <w:bookmarkStart w:id="11" w:name="_Toc405397073"/>
      <w:bookmarkEnd w:id="11"/>
      <w:bookmarkStart w:id="12" w:name="_Toc405397076"/>
      <w:bookmarkEnd w:id="12"/>
      <w:bookmarkStart w:id="13" w:name="_Toc405397082"/>
      <w:bookmarkEnd w:id="13"/>
      <w:bookmarkStart w:id="14" w:name="_Hlk499199831"/>
      <w:bookmarkEnd w:id="14"/>
      <w:bookmarkStart w:id="15" w:name="_Toc512263467"/>
      <w:bookmarkEnd w:id="15"/>
      <w:bookmarkStart w:id="16" w:name="_Toc512263470"/>
      <w:bookmarkEnd w:id="16"/>
      <w:bookmarkStart w:id="17" w:name="_Toc512263428"/>
      <w:bookmarkEnd w:id="17"/>
      <w:bookmarkStart w:id="18" w:name="_Toc512263441"/>
      <w:bookmarkEnd w:id="18"/>
      <w:bookmarkStart w:id="19" w:name="_Toc402170961"/>
      <w:bookmarkEnd w:id="19"/>
      <w:bookmarkStart w:id="20" w:name="_Toc512263450"/>
      <w:bookmarkEnd w:id="20"/>
      <w:bookmarkStart w:id="21" w:name="_Toc512263451"/>
      <w:bookmarkEnd w:id="21"/>
      <w:bookmarkStart w:id="22" w:name="_Toc45876027"/>
      <w:bookmarkEnd w:id="22"/>
      <w:bookmarkStart w:id="23" w:name="_Toc497929519"/>
      <w:bookmarkEnd w:id="23"/>
      <w:bookmarkStart w:id="24" w:name="_Toc512263476"/>
      <w:bookmarkEnd w:id="24"/>
      <w:bookmarkStart w:id="25" w:name="_Toc512263477"/>
      <w:bookmarkEnd w:id="25"/>
      <w:bookmarkStart w:id="26" w:name="_Toc512263478"/>
      <w:bookmarkEnd w:id="26"/>
      <w:bookmarkStart w:id="27" w:name="_Toc512263479"/>
      <w:bookmarkEnd w:id="27"/>
      <w:bookmarkStart w:id="28" w:name="_Toc512263480"/>
      <w:bookmarkEnd w:id="28"/>
      <w:bookmarkStart w:id="29" w:name="_Toc512263481"/>
      <w:bookmarkEnd w:id="29"/>
      <w:bookmarkStart w:id="30" w:name="_Toc512263482"/>
      <w:bookmarkEnd w:id="30"/>
      <w:bookmarkStart w:id="31" w:name="_Toc512263483"/>
      <w:bookmarkEnd w:id="31"/>
      <w:bookmarkStart w:id="32" w:name="_Toc512263484"/>
      <w:bookmarkEnd w:id="32"/>
      <w:bookmarkStart w:id="33" w:name="_Toc512263485"/>
      <w:bookmarkEnd w:id="33"/>
      <w:bookmarkStart w:id="34" w:name="_Toc512263486"/>
      <w:bookmarkEnd w:id="34"/>
      <w:bookmarkStart w:id="35" w:name="_Toc512263487"/>
      <w:bookmarkEnd w:id="35"/>
      <w:bookmarkStart w:id="36" w:name="_Toc512263489"/>
      <w:bookmarkEnd w:id="36"/>
      <w:bookmarkStart w:id="37" w:name="_Toc512263490"/>
      <w:bookmarkEnd w:id="37"/>
      <w:bookmarkStart w:id="38" w:name="_Toc512263491"/>
      <w:bookmarkEnd w:id="38"/>
      <w:bookmarkStart w:id="39" w:name="_Toc512263492"/>
      <w:bookmarkEnd w:id="39"/>
      <w:bookmarkStart w:id="40" w:name="_Toc512263493"/>
      <w:bookmarkEnd w:id="40"/>
      <w:bookmarkStart w:id="41" w:name="_Toc512263494"/>
      <w:bookmarkEnd w:id="41"/>
      <w:bookmarkStart w:id="42" w:name="_Toc512263495"/>
      <w:bookmarkEnd w:id="42"/>
      <w:bookmarkStart w:id="43" w:name="_Toc417551024"/>
      <w:bookmarkEnd w:id="43"/>
      <w:bookmarkStart w:id="44" w:name="_Toc417551028"/>
      <w:bookmarkEnd w:id="44"/>
      <w:bookmarkStart w:id="45" w:name="_Toc417551033"/>
      <w:bookmarkEnd w:id="45"/>
      <w:bookmarkStart w:id="46" w:name="_Toc417551034"/>
      <w:bookmarkEnd w:id="46"/>
      <w:bookmarkStart w:id="47" w:name="_Toc512263496"/>
      <w:bookmarkEnd w:id="47"/>
      <w:bookmarkStart w:id="48" w:name="_Toc512263497"/>
      <w:bookmarkEnd w:id="48"/>
      <w:bookmarkStart w:id="49" w:name="_Toc512263498"/>
      <w:bookmarkEnd w:id="49"/>
      <w:bookmarkStart w:id="50" w:name="_Toc512263499"/>
      <w:bookmarkEnd w:id="50"/>
      <w:bookmarkStart w:id="51" w:name="_Toc512263502"/>
      <w:bookmarkEnd w:id="51"/>
      <w:bookmarkStart w:id="52" w:name="_Toc512263512"/>
      <w:bookmarkEnd w:id="52"/>
      <w:bookmarkStart w:id="53" w:name="_Toc512263519"/>
      <w:bookmarkEnd w:id="53"/>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18</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55"/>
        <w:rPr>
          <w:rFonts w:hint="default"/>
        </w:rPr>
      </w:pPr>
      <w:r>
        <w:rPr>
          <w:rFonts w:hint="eastAsia"/>
          <w:sz w:val="18"/>
        </w:rPr>
        <w:t>※</w:t>
      </w:r>
      <w:r>
        <w:rPr>
          <w:rStyle w:val="42"/>
          <w:rFonts w:hint="default"/>
          <w:sz w:val="18"/>
          <w:vertAlign w:val="baseline"/>
        </w:rPr>
        <w:footnoteRef/>
      </w:r>
      <w:r>
        <w:rPr>
          <w:rFonts w:hint="eastAsia"/>
          <w:sz w:val="18"/>
        </w:rPr>
        <w:t>　心身の不使用が招くさまざまな機能低下。身体的には筋や骨の萎縮や関節拘縮、起立性低血圧等の循環器機能の低下等（低運動性症候群ともいう）、精神的には意欲の減衰や記憶力低下等がある。高齢者の病気やけがによる寝たきり状態の放置や社会交流の途絶から連鎖的に生じ、寝たきりの固定化につながることが多いことから、寝たきり症候群とも呼ばれ、できる限りの自立、機能活用を図ることが必要。</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emf" /><Relationship Id="rId9" Type="http://schemas.openxmlformats.org/officeDocument/2006/relationships/image" Target="media/image3.emf"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image" Target="media/image9.emf" /><Relationship Id="rId16" Type="http://schemas.openxmlformats.org/officeDocument/2006/relationships/image" Target="media/image10.emf" /><Relationship Id="rId17" Type="http://schemas.openxmlformats.org/officeDocument/2006/relationships/image" Target="media/image11.emf" /><Relationship Id="rId18" Type="http://schemas.openxmlformats.org/officeDocument/2006/relationships/image" Target="media/image12.emf" /><Relationship Id="rId19" Type="http://schemas.openxmlformats.org/officeDocument/2006/relationships/image" Target="media/image13.emf" /><Relationship Id="rId20" Type="http://schemas.openxmlformats.org/officeDocument/2006/relationships/image" Target="media/image14.png" /><Relationship Id="rId21" Type="http://schemas.openxmlformats.org/officeDocument/2006/relationships/footnotes" Target="footnotes.xml" /><Relationship Id="rId2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9569</TotalTime>
  <Pages>12</Pages>
  <Words>711</Words>
  <Characters>5673</Characters>
  <Application>JUST Note</Application>
  <Lines>5812</Lines>
  <Paragraphs>547</Paragraphs>
  <CharactersWithSpaces>5917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2020-12-25T08:04:23Z</dcterms:modified>
  <cp:revision>686</cp:revision>
</cp:coreProperties>
</file>