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25" w:hRule="atLeast"/>
        </w:trPr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※同種・類似業務での受託実績（受注内容及び受注金額）を評価する。評価対象は令和元年度～令和５年度中の受託実績とする。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地方公共団体における保育所入所選考等業務（入所自動選考業務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及び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保育料計算業務）とする。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※「同規模業務」とは、人口１０万人以上の地方公共団体における保育所入所選考等業務（入所自動選考業務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又は</w:t>
      </w: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保育料計算業務）とする。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  <w:t>※「類似業務」とは、申請書類等のデータチェック業務及び審査業務等の自動化に関する業務とする。</w:t>
      </w:r>
      <w:bookmarkStart w:id="0" w:name="_GoBack"/>
      <w:bookmarkEnd w:id="0"/>
    </w:p>
    <w:sectPr>
      <w:pgSz w:w="16838" w:h="11906" w:orient="landscape"/>
      <w:pgMar w:top="1417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1</Words>
  <Characters>288</Characters>
  <Application>JUST Note</Application>
  <Lines>78</Lines>
  <Paragraphs>22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森川　祥充(手動)</cp:lastModifiedBy>
  <dcterms:created xsi:type="dcterms:W3CDTF">2020-03-04T05:54:00Z</dcterms:created>
  <dcterms:modified xsi:type="dcterms:W3CDTF">2024-04-23T03:52:51Z</dcterms:modified>
  <cp:revision>2</cp:revision>
</cp:coreProperties>
</file>